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REMAND CASE DIARY</w:t>
      </w:r>
    </w:p>
    <w:p>
      <w:pPr>
        <w:jc w:val="center"/>
      </w:pPr>
      <w:r>
        <w:t xml:space="preserve">Part-I</w:t>
      </w:r>
    </w:p>
    <w:p>
      <w:r>
        <w:rPr>
          <w:b/>
        </w:rPr>
        <w:t xml:space="preserve">Police Station: </w:t>
      </w:r>
      <w:r>
        <w:t xml:space="preserve">Makthal    </w:t>
      </w:r>
      <w:r>
        <w:rPr>
          <w:b/>
        </w:rPr>
        <w:t xml:space="preserve">Dist: </w:t>
      </w:r>
      <w:r>
        <w:t xml:space="preserve">Narayanpet</w:t>
        <w:br/>
      </w:r>
      <w:r>
        <w:rPr>
          <w:b/>
        </w:rPr>
        <w:t xml:space="preserve">Crime No.: </w:t>
      </w:r>
      <w:r>
        <w:t xml:space="preserve">57/2026</w:t>
        <w:br/>
      </w:r>
      <w:r>
        <w:rPr>
          <w:b/>
        </w:rPr>
        <w:t xml:space="preserve">U/S: </w:t>
      </w:r>
      <w:r>
        <w:t xml:space="preserve">(3), 3(5), 118(1), 115(2), 352, 1118(2), 115(2), 352, 35, 180(3), 35(3)</w:t>
        <w:br/>
      </w:r>
      <w:r>
        <w:rPr>
          <w:b/>
        </w:rPr>
        <w:t xml:space="preserve">Remand CD Dt: </w:t>
      </w:r>
      <w:r>
        <w:t xml:space="preserve">01.04.2026</w:t>
      </w:r>
    </w:p>
    <w:p/>
    <w:p>
      <w:r>
        <w:rPr>
          <w:b/>
        </w:rPr>
        <w:t xml:space="preserve">Previous case diary: </w:t>
      </w:r>
      <w:r>
        <w:t>This is the first Remand Case Diary.</w:t>
      </w:r>
    </w:p>
    <w:p>
      <w:r>
        <w:rPr>
          <w:b/>
        </w:rPr>
        <w:t xml:space="preserve">Name of the deceased: </w:t>
      </w:r>
      <w:r>
        <w:t>---</w:t>
      </w:r>
    </w:p>
    <w:p>
      <w:r>
        <w:rPr>
          <w:b/>
        </w:rPr>
        <w:t xml:space="preserve">Name of the witnesses examined: </w:t>
      </w:r>
      <w:r>
        <w:t xml:space="preserve">LW-1. Chandapuram Manikanta</w:t>
      </w:r>
    </w:p>
    <w:p/>
    <w:p>
      <w:r>
        <w:rPr>
          <w:b/>
        </w:rPr>
        <w:t>Honoured Sir,</w:t>
      </w:r>
    </w:p>
    <w:p/>
    <w:p>
      <w:r>
        <w:rPr>
          <w:b/>
        </w:rPr>
        <w:t>Brief facts of the case:</w:t>
        <w:br/>
        <w:br/>
      </w:r>
      <w:r>
        <w:t xml:space="preserve">On the complaint of the de facto complainant/LW-1 Chandapuram Manikanta, FIR No. 57/2026 was registered at Makthal Police Station for the offences under Sections 3, 3(5), 118(1), 115(2), 352, 1118(2), 35, 180(3) and 35(3) (as mentioned in the FIR). After registration of the case, the Investigating Officer recorded the statement of LW-1 under Section 180(3) BNSS and incorporated the same in Part-II Case Diary at the Police Station. The injured/de facto complainant was sent to Government Area Hospital, Makthal for treatment and for issuance of wound certificate.</w:t>
        <w:br/>
        <w:t xml:space="preserve"/>
        <w:br/>
        <w:t xml:space="preserve">During investigation, the Investigating Officer visited the scene of offence situated at Sukanya Glass Frame Work Shop, Nethajinagar, Makthal Town, located about 500 meters towards the East from the Police Station. At the scene, the Investigating Officer secured two mediators, examined them as LW-5 and LW-6, and in their presence conducted the Scene of Offence Panchanama. A rough sketch of the scene of offence was prepared in the Crime Detail Form depicting the surroundings.</w:t>
        <w:br/>
        <w:t xml:space="preserve"/>
        <w:br/>
        <w:t xml:space="preserve">Further, the Investigating Officer searched for case property at the scene; however, no case property was found/seized at the spot. The statements of LW-2 to LW-4 were examined and recorded under Section 180(3) BNSS at the scene and incorporated in the Part-II Case Diaries.</w:t>
        <w:br/>
        <w:t xml:space="preserve"/>
        <w:br/>
        <w:t xml:space="preserve">Subsequently, the accused persons came to the Police Station and surrendered before the Investigating Officer and admitted commission of the offence, as recorded in the case diary. Notice under Section 35(3) BNSS was served on the accused persons, directing them to appear on 23.02.2026 along with ID proofs and documents, and the investigation noted the requirement to collect ID proofs and acknowledgment receipts from the accused persons for further completion of the case.</w:t>
      </w:r>
    </w:p>
    <w:p/>
    <w:p>
      <w:pPr>
        <w:jc w:val="center"/>
      </w:pPr>
      <w:r>
        <w:rPr>
          <w:b/>
        </w:rPr>
        <w:t>REASONS FOR ARREST:</w:t>
      </w:r>
    </w:p>
    <w:p>
      <w:r>
        <w:t xml:space="preserve">1. **Cognizable offences disclosed:** FIR No. 57/2026 of Makthal Police Station was registered on the complaint of LW-1 Chandapuram Manikanta for the offences under Sections 3, 3(5), 118(1), 115(2), 352, 1118(2), 35, 180(3) and 35(3) (as mentioned in the FIR). The allegations disclose commission of cognizable offences, and the injured was referred to Government Area Hospital, Makthal for treatment and issuance of wound certificate.</w:t>
        <w:br/>
        <w:t xml:space="preserve"/>
        <w:br/>
        <w:t xml:space="preserve">2. **Material/evidence linking the accused with the offence:** During investigation, the statements of LW-1 to LW-4 were recorded under Section 180(3) BNSS and incorporated in Part-II Case Diaries. Further, the accused persons appeared before the Investigating Officer at the Police Station and surrendered, and their admission regarding commission of the offence has been recorded in the case diary. The scene of offence was inspected at Sukanya Glass Frame Work Shop, Nethajinagar, Makthal, and Scene of Offence Panchanama and rough sketch were prepared in the presence of mediators LW-5 and LW-6, corroborating the place of occurrence as stated by witnesses.</w:t>
        <w:br/>
        <w:t xml:space="preserve"/>
        <w:br/>
        <w:t xml:space="preserve">3. **Risk of absconding / non-availability:** In view of the registration of the case for the above offences, there is likelihood that, if not secured, the accused may not remain available for investigation and further proceedings, and may evade appearance before the Investigating Officer and the Hon’ble Court. The accused were served notice under Section 35(3) BNSS to appear with ID proofs and documents; to ensure their continued availability and compliance with legal process, arrest is considered necessary.</w:t>
        <w:br/>
        <w:t xml:space="preserve"/>
        <w:br/>
        <w:t xml:space="preserve">4. **Risk of tampering with evidence / influencing witnesses:** The investigation is at a preliminary stage; statements of material witnesses have been recorded and further verification is required. If the accused are left at large, there is apprehension of influencing or intimidating the de facto complainant and other material witnesses (LW-2 to LW-4), and of interfering with the investigation relating to the occurrence at the scene of offence.</w:t>
        <w:br/>
        <w:t xml:space="preserve"/>
        <w:br/>
        <w:t xml:space="preserve">5. **Need for custody for effective investigation:** Custodial interrogation is required for effective and expeditious investigation, including (i) verification and collection of identity proofs and relevant documents from the accused, (ii) ascertaining the manner of commission of the offence and roles of each accused, and (iii) facilitating recovery/trace of any case property connected to the offence, as no property could be seized at the scene during panchanama. Hence, arrest and remand are sought in the interest of justice and for completion of investigation.</w:t>
      </w:r>
    </w:p>
    <w:p/>
    <w:p>
      <w:pPr>
        <w:jc w:val="center"/>
      </w:pPr>
      <w:r>
        <w:rPr>
          <w:b/>
        </w:rPr>
        <w:t>HENCE THE REMAND REPORT:</w:t>
      </w:r>
    </w:p>
    <w:p>
      <w:r>
        <w:t>It is therefore prayed that the Hon'ble Court may kindly remand the accused:</w:t>
        <w:br/>
        <w:br/>
        <w:t xml:space="preserve">16. and address of, R/o of</w:t>
        <w:br/>
        <w:t xml:space="preserve">A2. tances from you, S/o Pujari Subhash, R/o H No.2-72 Maganoor Village</w:t>
        <w:br/>
        <w:br/>
        <w:t>to judicial custody for a period of 15 days to enable the investigating officer to complete the investigation.</w:t>
      </w:r>
    </w:p>
    <w:p/>
    <w:p>
      <w:r>
        <w:rPr>
          <w:b/>
        </w:rPr>
        <w:t>Encl:</w:t>
      </w:r>
      <w:r>
        <w:br/>
        <w:t>1. Remand application</w:t>
        <w:br/>
        <w:t>2. Case diary copies</w:t>
        <w:br/>
        <w:t>3. Section 35(3) BNSS notice copies</w:t>
      </w:r>
    </w:p>
    <w:p/>
    <w:p>
      <w:pPr>
        <w:jc w:val="right"/>
      </w:pPr>
      <w:r>
        <w:t xml:space="preserve">()</w:t>
        <w:br/>
        <w:t xml:space="preserve">Sub Inspector of Police</w:t>
        <w:br/>
        <w:t xml:space="preserve">PS Makthal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