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123</w:t>
        <w:br/>
      </w:r>
      <w:r>
        <w:rPr>
          <w:b/>
        </w:rPr>
        <w:t xml:space="preserve">U/S: </w:t>
      </w:r>
      <w:r>
        <w:t xml:space="preserve"/>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As the case particulars and “Raw document contents” have not been provided (FIR No. 123 is mentioned, but Sections/Complainant/Accused/Place/Date are blank), a factual “Brief Facts” summary cannot be drafted without risking assumptions. For a Charge Sheet, the brief facts must strictly reflect the FIR and material collected during investigation.</w:t>
        <w:br/>
        <w:t xml:space="preserve"/>
        <w:br/>
        <w:t xml:space="preserve">Kindly share the following from the case documents, and I will generate a 3–4 paragraph “Brief Facts” section in proper Charge Sheet style:</w:t>
        <w:br/>
        <w:t xml:space="preserve">1) FIR registration details: Date/Time of FIR, Police Station, FIR content/gist, Sections invoked, complainant details.  </w:t>
        <w:br/>
        <w:t xml:space="preserve">2) Occurrence details: Date/Time/Place of incident, sequence of events as per complaint/witnesses.  </w:t>
        <w:br/>
        <w:t xml:space="preserve">3) Accused details and alleged role: Names/addresses, specific acts attributed to each accused.  </w:t>
        <w:br/>
        <w:t xml:space="preserve">4) Evidence collected: Statements recorded (u/s 161 CrPC), any 164 CrPC statements, seizure memos, recovered articles, medical examination/MLC, scene of crime inspection, CCTV/Call Detail Records/digital evidence, expert reports (FSL), arrest and remand details, TIP if conducted.</w:t>
        <w:br/>
        <w:t xml:space="preserve"/>
        <w:br/>
        <w:t xml:space="preserve">If you paste the FIR narrative and the investigation notes (or upload the documents), I will produce a formal, factual “Brief Facts” summary that includes: (i) complaint registration details, (ii) nature of offence, (iii) role of accused, and (iv) evidence collected—without opinions or assumptions.</w:t>
      </w:r>
    </w:p>
    <w:p/>
    <w:p>
      <w:pPr>
        <w:jc w:val="center"/>
      </w:pPr>
      <w:r>
        <w:rPr>
          <w:b/>
        </w:rPr>
        <w:t>REASONS FOR ARREST:</w:t>
      </w:r>
    </w:p>
    <w:p>
      <w:r>
        <w:t xml:space="preserve">1. **Cognizable offence committed:** In the present case, a cognizable offence has been registered and is under investigation as per the FIR. The nature and applicability of specific penal sections are as recorded in the FIR and subsequent proceedings; arrest is effected in connection with the said cognizable offence for the purpose of lawful investigation.</w:t>
        <w:br/>
        <w:t xml:space="preserve"/>
        <w:br/>
        <w:t xml:space="preserve">2. **Evidence linking the accused to the offence:** During the course of investigation, material has emerged indicating the involvement of the accused in the offence, including documentary and/or oral evidence collected by the Investigating Officer. The accused is required to be arrested to secure his/her presence and to facilitate further investigation based on the evidence available on record.</w:t>
        <w:br/>
        <w:t xml:space="preserve"/>
        <w:br/>
        <w:t xml:space="preserve">3. **Risk of absconding:** Considering the gravity of allegations as reflected in the FIR and the stage of investigation, there exists a reasonable apprehension that, if not arrested and produced before the Hon’ble Court, the accused may evade the process of law, may not cooperate with investigation, and may abscond, thereby frustrating further investigation and trial.</w:t>
        <w:br/>
        <w:t xml:space="preserve"/>
        <w:br/>
        <w:t xml:space="preserve">4. **Risk of tampering with evidence / influencing witnesses:** There is a reasonable apprehension that the accused, if left at large, may attempt to tamper with material evidence, influence or intimidate the complainant and/or prosecution witnesses, and may obstruct the course of investigation, particularly where recovery, identification, or verification of material facts is yet to be completed.</w:t>
        <w:br/>
        <w:t xml:space="preserve"/>
        <w:br/>
        <w:t xml:space="preserve">5. **Need for custody for investigation:** Custodial interrogation of the accused is necessary for effective investigation, including for recovery of case property/weapon/documents/digital devices (as applicable), identification of associates/co-accused, verification of facts and circumstances, reconstruction of events, and completion of other pending investigative steps. Hence, arrest and police custody remand are sought to ensure a fair and complete investigation in accordance with law.</w:t>
      </w:r>
    </w:p>
    <w:p/>
    <w:p>
      <w:pPr>
        <w:jc w:val="center"/>
      </w:pPr>
      <w:r>
        <w:rPr>
          <w:b/>
        </w:rPr>
        <w:t>HENCE THE REMAND REPORT:</w:t>
      </w:r>
    </w:p>
    <w:p>
      <w:r>
        <w:t>It is therefore prayed that the Hon'ble Court may kindly remand the accused:</w:t>
        <w:br/>
        <w:br/>
        <w:t xml:space="preserve">[ ]</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