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144    </w:t>
      </w:r>
      <w:r>
        <w:rPr>
          <w:b/>
        </w:rPr>
        <w:t xml:space="preserve">CD Dt: </w:t>
      </w:r>
      <w:r>
        <w:t xml:space="preserve">02.04.2026</w:t>
        <w:br/>
      </w:r>
      <w:r>
        <w:rPr>
          <w:b/>
        </w:rPr>
        <w:t xml:space="preserve">Offence u/s </w:t>
      </w:r>
      <w:r>
        <w:t xml:space="preserve"/>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03.12</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 ]</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 ]</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On 03.12.2025, FIR No. 144 was registered at the concerned Police Station on the basis of a complaint received in relation to an alleged offence. The FIR records the date of occurrence/registration as 03.12.2025. As per the case documents provided, the particulars of the complainant, accused, place of occurrence, and the invoked legal sections have not been furnished in the record shared for preparation of this brief.</w:t>
        <w:br/>
        <w:t xml:space="preserve"/>
        <w:br/>
        <w:t xml:space="preserve">The nature of the offence, including the manner of commission and the specific acts complained of, is not available in the raw document contents provided. Accordingly, the exact allegations, the ingredients of the offence(s), and the factual matrix leading to the registration of the FIR cannot be set out in this “Brief Facts” summary on the basis of the present material.</w:t>
        <w:br/>
        <w:t xml:space="preserve"/>
        <w:br/>
        <w:t xml:space="preserve">The role of the accused person(s), including identity particulars and specific overt acts attributed, is also not reflected in the documents shared. Therefore, no factual narration regarding the involvement of any named accused can be incorporated without additional documented inputs.</w:t>
        <w:br/>
        <w:t xml:space="preserve"/>
        <w:br/>
        <w:t xml:space="preserve">Further, the documents provided do not contain details of the investigation conducted or the evidence collected (such as statements of witnesses under Section 161 CrPC, seizure memos, site plan, medical reports, forensic reports, electronic evidence certificates under Section 65B of the Indian Evidence Act, arrest memo, or other relevant papers). In the absence of such records, the evidence collected during investigation cannot be summarised for the purposes of the Charge Sheet.</w:t>
        <w:br/>
        <w:t xml:space="preserve"/>
        <w:br/>
        <w:t xml:space="preserve">To draft a complete “Brief Facts” section, please share the FIR narrative/complaint text, names and addresses of complainant and accused, place of occurrence, sections invoked, and the list of evidence/documents collected during investigation.</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