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144</w:t>
        <w:br/>
      </w:r>
      <w:r>
        <w:rPr>
          <w:b/>
        </w:rPr>
        <w:t xml:space="preserve">U/S: </w:t>
      </w:r>
      <w:r>
        <w:t xml:space="preserve"/>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On 03.12.2025, FIR No. 144 was registered at the concerned Police Station on the basis of a complaint received in relation to an alleged offence. The FIR records the date of occurrence/registration as 03.12.2025. As per the case documents provided, the particulars of the complainant, accused, place of occurrence, and the invoked legal sections have not been furnished in the record shared for preparation of this brief.</w:t>
        <w:br/>
        <w:t xml:space="preserve"/>
        <w:br/>
        <w:t xml:space="preserve">The nature of the offence, including the manner of commission and the specific acts complained of, is not available in the raw document contents provided. Accordingly, the exact allegations, the ingredients of the offence(s), and the factual matrix leading to the registration of the FIR cannot be set out in this “Brief Facts” summary on the basis of the present material.</w:t>
        <w:br/>
        <w:t xml:space="preserve"/>
        <w:br/>
        <w:t xml:space="preserve">The role of the accused person(s), including identity particulars and specific overt acts attributed, is also not reflected in the documents shared. Therefore, no factual narration regarding the involvement of any named accused can be incorporated without additional documented inputs.</w:t>
        <w:br/>
        <w:t xml:space="preserve"/>
        <w:br/>
        <w:t xml:space="preserve">Further, the documents provided do not contain details of the investigation conducted or the evidence collected (such as statements of witnesses under Section 161 CrPC, seizure memos, site plan, medical reports, forensic reports, electronic evidence certificates under Section 65B of the Indian Evidence Act, arrest memo, or other relevant papers). In the absence of such records, the evidence collected during investigation cannot be summarised for the purposes of the Charge Sheet.</w:t>
        <w:br/>
        <w:t xml:space="preserve"/>
        <w:br/>
        <w:t xml:space="preserve">To draft a complete “Brief Facts” section, please share the FIR narrative/complaint text, names and addresses of complainant and accused, place of occurrence, sections invoked, and the list of evidence/documents collected during investigation.</w:t>
      </w:r>
    </w:p>
    <w:p/>
    <w:p>
      <w:pPr>
        <w:jc w:val="center"/>
      </w:pPr>
      <w:r>
        <w:rPr>
          <w:b/>
        </w:rPr>
        <w:t>REASONS FOR ARREST:</w:t>
      </w:r>
    </w:p>
    <w:p>
      <w:r>
        <w:t xml:space="preserve">1. **Cognizable offence committed:** FIR No. 144 dated 03.12.2025 has been registered at the concerned Police Station on receipt of a complaint alleging commission of an offence. However, the specific penal sections invoked and particulars showing whether the alleged offence is cognizable are not available in the documents provided; hence, the precise cognizable nature of the offence cannot be recorded in this remand note on the basis of the present material.</w:t>
        <w:br/>
        <w:t xml:space="preserve"/>
        <w:br/>
        <w:t xml:space="preserve">2. **Evidence linking the accused with the offence:** The documents shared do not contain the identity particulars of the accused, the role attributed, witness statements, recovery/seizure memos, electronic/forensic material, medical documents, or any other investigative papers. In the absence of such documented material, specific evidence linking the accused to the alleged offence cannot be detailed for the purposes of “reasons for arrest”.</w:t>
        <w:br/>
        <w:t xml:space="preserve"/>
        <w:br/>
        <w:t xml:space="preserve">3. **Risk of absconding:** As the particulars of the accused (identity, address, antecedents, conduct during inquiry, and availability for investigation) are not provided in the case documents, no factual basis is available to submit that there exists a risk of absconding. Any such assertion would be speculative without supporting record.</w:t>
        <w:br/>
        <w:t xml:space="preserve"/>
        <w:br/>
        <w:t xml:space="preserve">4. **Risk of tampering with evidence / influencing witnesses:** The present record does not disclose the nature of evidence collected, the list of witnesses, the relationship between the accused and witnesses, or any instance/attempt of intimidation, inducement, or interference. Therefore, a documented and case-specific apprehension of tampering with evidence or influencing witnesses cannot be stated on the basis of the material supplied.</w:t>
        <w:br/>
        <w:t xml:space="preserve"/>
        <w:br/>
        <w:t xml:space="preserve">5. **Need for custody for investigation:** The case documents do not disclose the pending investigative steps (such as recovery, identification, custodial interrogation requirements, collection of electronic evidence, verification of whereabouts, or confrontation with co-accused/witnesses). Consequently, the necessity of custodial interrogation or police custody remand cannot be justified on record without additional case papers indicating specific pending steps and their linkage to the accused.</w:t>
        <w:br/>
        <w:t xml:space="preserve"/>
        <w:br/>
        <w:t xml:space="preserve">*Note: To generate court-suitable “Reasons for Arrest” in a remand case diary, please provide the sections invoked, accused particulars, brief allegation/role, and the investigation material relied upon (161 CrPC statements, seizure/recovery details, CDR/CCTV/65B, medical/forensic reports, and pending recoveries/identification/interrogation requirements).*</w:t>
      </w:r>
    </w:p>
    <w:p/>
    <w:p>
      <w:pPr>
        <w:jc w:val="center"/>
      </w:pPr>
      <w:r>
        <w:rPr>
          <w:b/>
        </w:rPr>
        <w:t>HENCE THE REMAND REPORT:</w:t>
      </w:r>
    </w:p>
    <w:p>
      <w:r>
        <w:t>It is therefore prayed that the Hon'ble Court may kindly remand the accused:</w:t>
        <w:br/>
        <w:br/>
        <w:t xml:space="preserve">[ ]</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