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REMAND CASE DIARY</w:t>
      </w:r>
    </w:p>
    <w:p>
      <w:pPr>
        <w:jc w:val="center"/>
      </w:pPr>
      <w:r>
        <w:t xml:space="preserve">Part-I</w:t>
      </w:r>
    </w:p>
    <w:p>
      <w:r>
        <w:rPr>
          <w:b/>
        </w:rPr>
        <w:t xml:space="preserve">Police Station: </w:t>
      </w:r>
      <w:r>
        <w:t xml:space="preserve">Makthal    </w:t>
      </w:r>
      <w:r>
        <w:rPr>
          <w:b/>
        </w:rPr>
        <w:t xml:space="preserve">Dist: </w:t>
      </w:r>
      <w:r>
        <w:t xml:space="preserve">Narayanpet</w:t>
        <w:br/>
      </w:r>
      <w:r>
        <w:rPr>
          <w:b/>
        </w:rPr>
        <w:t xml:space="preserve">Crime No.: </w:t>
      </w:r>
      <w:r>
        <w:t xml:space="preserve">24/2026</w:t>
        <w:br/>
      </w:r>
      <w:r>
        <w:rPr>
          <w:b/>
        </w:rPr>
        <w:t xml:space="preserve">U/S: </w:t>
      </w:r>
      <w:r>
        <w:t xml:space="preserve">35, (3), 118(1), 115(2), 352, 180(3), 35(3), 1118(2), 115(2), 352, 3(5)</w:t>
        <w:br/>
      </w:r>
      <w:r>
        <w:rPr>
          <w:b/>
        </w:rPr>
        <w:t xml:space="preserve">Remand CD Dt: </w:t>
      </w:r>
      <w:r>
        <w:t xml:space="preserve">03.04.2026</w:t>
      </w:r>
    </w:p>
    <w:p/>
    <w:p>
      <w:r>
        <w:rPr>
          <w:b/>
        </w:rPr>
        <w:t xml:space="preserve">Previous case diary: </w:t>
      </w:r>
      <w:r>
        <w:t>This is the first Remand Case Diary.</w:t>
      </w:r>
    </w:p>
    <w:p>
      <w:r>
        <w:rPr>
          <w:b/>
        </w:rPr>
        <w:t xml:space="preserve">Name of the deceased: </w:t>
      </w:r>
      <w:r>
        <w:t>---</w:t>
      </w:r>
    </w:p>
    <w:p>
      <w:r>
        <w:rPr>
          <w:b/>
        </w:rPr>
        <w:t xml:space="preserve">Name of the witnesses examined: </w:t>
      </w:r>
      <w:r>
        <w:t xml:space="preserve">LW-7. Chandapuram Manikanta</w:t>
        <w:br/>
        <w:t xml:space="preserve">Chandrashekar, LW-1. Chandapuram Manikanta</w:t>
      </w:r>
    </w:p>
    <w:p/>
    <w:p>
      <w:r>
        <w:rPr>
          <w:b/>
        </w:rPr>
        <w:t>Honoured Sir,</w:t>
      </w:r>
    </w:p>
    <w:p/>
    <w:p>
      <w:r>
        <w:rPr>
          <w:b/>
        </w:rPr>
        <w:t>Brief facts of the case:</w:t>
        <w:br/>
        <w:br/>
      </w:r>
      <w:r>
        <w:t xml:space="preserve">On 22/02/2026, a complaint was received in Makthal Police Station and was registered as FIR No. 24/2026 for offences shown in the FIR under Sections 35(3), 118(1), 115(2), 352, 180(3), 118(2) and 3(5) (as mentioned in the case papers). The complainant is a male (age not specified in the FIR brief provided). The accused named in the FIR are (1) Chandapuram Manikanta and (2) Pujari Nandakishor. During the course of investigation on the same date, the Investigating Officer recorded statements under Section 180(3) BNSS and incorporated the same in Part-II Case Diary.</w:t>
        <w:br/>
        <w:t xml:space="preserve"/>
        <w:br/>
        <w:t xml:space="preserve">As per the case diary, the incident pertains to an offence investigated at/near Sukanya Glass Frame Work Shop, Nethajinagar, Makthal Town, situated approximately 500 meters east of the police station. The victim/complainant was sent to Government Area Hospital, Makthal for treatment and for issuance of wound certificate. The place of examination is noted as 22/02/2026 at the scene of offence, and the statement of Chandapuram Vijay Kumar, S/o Late Ramulu, aged about 38 years, caste Mudiraj, occupation car driver, R/o Nethajinagar, Makthal Town, was recorded on 22/02/2026 (as reflected in the case papers).</w:t>
        <w:br/>
        <w:t xml:space="preserve"/>
        <w:br/>
        <w:t xml:space="preserve">During investigation, the Investigating Officer visited the scene of offence and, in the presence of mediators LW-5 and LW-6, conducted the Scene of Offence Panchanama and prepared a rough sketch in the Crime Detail Form showing the surroundings of the scene. During the panchanama, a search was made for case property; however, no property was found or seized at the spot. Further, statements of LW-2 to LW-4 were examined and recorded under Section 180(3) BNSS and incorporated in the Part-II Case Diaries.</w:t>
        <w:br/>
        <w:t xml:space="preserve"/>
        <w:br/>
        <w:t xml:space="preserve">Subsequently, as recorded in the case diary, the accused persons came to the police station and surrendered before the Investigating Officer. Thereafter, notices under Section 35(3) BNSS were served upon them with instructions to appear on 23/02/2026 along with identity proofs and documents, and the Investigating Officer noted that identity proofs and acknowledgement receipts were to be collected for further action in the case.</w:t>
      </w:r>
    </w:p>
    <w:p/>
    <w:p>
      <w:pPr>
        <w:jc w:val="center"/>
      </w:pPr>
      <w:r>
        <w:rPr>
          <w:b/>
        </w:rPr>
        <w:t>REASONS FOR ARREST:</w:t>
      </w:r>
    </w:p>
    <w:p>
      <w:r>
        <w:t xml:space="preserve">1. **Cognizable offence committed:** The instant case pertains to FIR No. 24/2026 of Makthal Police Station, registered on 22/02/2026 for the cognizable offences shown in the FIR under Sections **35(3), 118(1), 115(2), 352, 180(3), 118(2) and 3(5)** (and other sections as reflected in the FIR/case papers). The occurrence relates to the incident at/near **Sukanya Glass Frame Work Shop, Nethajinagar, Makthal Town**, wherein the complainant/victim sustained injuries and was referred to **Government Area Hospital, Makthal** for treatment and issuance of wound certificate.</w:t>
        <w:br/>
        <w:t xml:space="preserve"/>
        <w:br/>
        <w:t xml:space="preserve">2. **Evidence linking the accused to the offence:** During investigation, the Investigating Officer examined and recorded the statements of witnesses **LW-2 to LW-4** under **Section 180(3) BNSS**, and also recorded the statement of **Chandapuram Vijay Kumar** on 22/02/2026, which are incorporated in the Part-II Case Diaries. Further, the accused **Chandapuram Manikanta** and **Pujari Nandakishor** came to the Police Station and **surrendered** before the Investigating Officer, and their presence/identity has been brought on record by issuance of **notice under Section 35(3) BNSS** requiring their appearance with identity proofs and documents.</w:t>
        <w:br/>
        <w:t xml:space="preserve"/>
        <w:br/>
        <w:t xml:space="preserve">3. **Risk of absconding:** The accused are residents within the local limits and, if left at liberty without securing their presence through lawful custody/production, there is a reasonable apprehension that they may **evade investigation and fail to appear** as directed, thereby obstructing the course of investigation and further proceedings, especially when their identity particulars and documentary proofs are yet to be formally collected and verified as noted in the case diary.</w:t>
        <w:br/>
        <w:t xml:space="preserve"/>
        <w:br/>
        <w:t xml:space="preserve">4. **Risk of tampering with evidence / influencing witnesses:** Material witnesses have been examined and their statements recorded, and further examination/verification is pending. If the accused are not secured, there is a likelihood of their **influencing, threatening, or inducing witnesses** acquainted with the facts, particularly as the incident occurred within the same locality (Nethajinagar, Makthal Town). The Scene of Offence Panchanama and sketch have been prepared in the presence of mediators **LW-5 and LW-6**, and further steps connected with corroboration of scene/witness version may be affected by interference of the accused.</w:t>
        <w:br/>
        <w:t xml:space="preserve"/>
        <w:br/>
        <w:t xml:space="preserve">5. **Need for custody for investigation:** Custodial interrogation/secure custody is required for **effective investigation**, including: (i) completion of verification and collection of **identity proofs and acknowledgements** from the accused as already noted by the Investigating Officer; (ii) facilitating further investigation relating to the **case property**, which was not found/seized during the scene search; (iii) confronting the accused with witness statements and scene details recorded in Part-II CDs; and (iv) ensuring their availability for necessary procedural compliances and further investigative steps connected with the medical evidence/wound certificate and other corroborative material.</w:t>
      </w:r>
    </w:p>
    <w:p/>
    <w:p>
      <w:pPr>
        <w:jc w:val="center"/>
      </w:pPr>
      <w:r>
        <w:rPr>
          <w:b/>
        </w:rPr>
        <w:t>HENCE THE REMAND REPORT:</w:t>
      </w:r>
    </w:p>
    <w:p>
      <w:r>
        <w:t>It is therefore prayed that the Hon'ble Court may kindly remand the accused:</w:t>
        <w:br/>
        <w:br/>
        <w:t xml:space="preserve">A1. Chandapuram Manikanta, S/o Chandrashekar, R/o Nethajinagar</w:t>
        <w:br/>
        <w:t xml:space="preserve">1. Pujari Nandakishor, S/o Pujari Subhash, R/o H.No. 2-72 Maganoor Village  Mandal</w:t>
        <w:br/>
        <w:t xml:space="preserve">A3. tances from you, S/o Pujari Subhash, R/o H No.2-72 Maganoor Village</w:t>
        <w:br/>
        <w:br/>
        <w:t>to judicial custody for a period of 15 days to enable the investigating officer to complete the investigation.</w:t>
      </w:r>
    </w:p>
    <w:p/>
    <w:p>
      <w:r>
        <w:rPr>
          <w:b/>
        </w:rPr>
        <w:t>Encl:</w:t>
      </w:r>
      <w:r>
        <w:br/>
        <w:t>1. Remand application</w:t>
        <w:br/>
        <w:t>2. Case diary copies</w:t>
        <w:br/>
        <w:t>3. Section 35(3) BNSS notice copies</w:t>
      </w:r>
    </w:p>
    <w:p/>
    <w:p>
      <w:pPr>
        <w:jc w:val="right"/>
      </w:pPr>
      <w:r>
        <w:t xml:space="preserve">()</w:t>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