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DEBUG/2026    </w:t>
      </w:r>
      <w:r>
        <w:rPr>
          <w:b/>
        </w:rPr>
        <w:t xml:space="preserve">CD Dt: </w:t>
      </w:r>
      <w:r>
        <w:t xml:space="preserve">02.04.2026</w:t>
        <w:br/>
      </w:r>
      <w:r>
        <w:rPr>
          <w:b/>
        </w:rPr>
        <w:t xml:space="preserve">Offence u/s </w:t>
      </w:r>
      <w:r>
        <w:t xml:space="preserve">118(2) BNS, 352, 118(2), 115(2),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1. On the complaint of Smt. **Lakshmi Devi**, the present case was registered as **FIR No. DEBUG/2026** for offences punishable under **Sections 118(2), 115(2) and 352 of the BNS** (as mentioned in the FIR). The FIR records **Venkatesh** as the accused person. The **date and place of occurrence** are not reflected in the documents provided.</w:t>
        <w:br/>
        <w:t xml:space="preserve"/>
        <w:br/>
        <w:t xml:space="preserve">2. As per the FIR particulars, the allegations disclose an incident involving offences cited under the above provisions, including **assault/use of criminal force (Section 352 BNS)** along with other offences under **Sections 118(2) and 115(2) BNS**, as invoked in the FIR. The complaint attributes the commission of the alleged acts to the accused **Venkatesh**.</w:t>
        <w:br/>
        <w:t xml:space="preserve"/>
        <w:br/>
        <w:t xml:space="preserve">3. The role attributed to the accused, as per the available record, is that he is the person against whom the complainant has made allegations forming the basis of registration of the FIR under the aforesaid sections. No further specific narration of the manner of occurrence, injuries, weapons, or sequence of events is available in the provided documents.</w:t>
        <w:br/>
        <w:t xml:space="preserve"/>
        <w:br/>
        <w:t xml:space="preserve">4. Regarding evidence, the present case file content provided contains only the FIR metadata (FIR number, sections, complainant and accused details). **No witness statements, medical documents, site plan, seizure memos, photographs, electronic records, or other investigation materials** have been furnished in the documents shared; accordingly, the evidence collected cannot be detailed beyond the fact of complaint/FIR registration on record.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