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DEBUG/2026</w:t>
        <w:br/>
      </w:r>
      <w:r>
        <w:rPr>
          <w:b/>
        </w:rPr>
        <w:t xml:space="preserve">U/S: </w:t>
      </w:r>
      <w:r>
        <w:t xml:space="preserve">118(2) BNS, 352, 118(2), 115(2),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1. On the complaint of Smt. **Lakshmi Devi**, the present case was registered as **FIR No. DEBUG/2026** for offences punishable under **Sections 118(2), 115(2) and 352 of the BNS** (as mentioned in the FIR). The FIR records **Venkatesh** as the accused person. The **date and place of occurrence** are not reflected in the documents provided.</w:t>
        <w:br/>
        <w:t xml:space="preserve"/>
        <w:br/>
        <w:t xml:space="preserve">2. As per the FIR particulars, the allegations disclose an incident involving offences cited under the above provisions, including **assault/use of criminal force (Section 352 BNS)** along with other offences under **Sections 118(2) and 115(2) BNS**, as invoked in the FIR. The complaint attributes the commission of the alleged acts to the accused **Venkatesh**.</w:t>
        <w:br/>
        <w:t xml:space="preserve"/>
        <w:br/>
        <w:t xml:space="preserve">3. The role attributed to the accused, as per the available record, is that he is the person against whom the complainant has made allegations forming the basis of registration of the FIR under the aforesaid sections. No further specific narration of the manner of occurrence, injuries, weapons, or sequence of events is available in the provided documents.</w:t>
        <w:br/>
        <w:t xml:space="preserve"/>
        <w:br/>
        <w:t xml:space="preserve">4. Regarding evidence, the present case file content provided contains only the FIR metadata (FIR number, sections, complainant and accused details). **No witness statements, medical documents, site plan, seizure memos, photographs, electronic records, or other investigation materials** have been furnished in the documents shared; accordingly, the evidence collected cannot be detailed beyond the fact of complaint/FIR registration on record.</w:t>
      </w:r>
    </w:p>
    <w:p/>
    <w:p>
      <w:pPr>
        <w:jc w:val="center"/>
      </w:pPr>
      <w:r>
        <w:rPr>
          <w:b/>
        </w:rPr>
        <w:t>REASONS FOR ARREST:</w:t>
      </w:r>
    </w:p>
    <w:p>
      <w:r>
        <w:t xml:space="preserve">1. **Cognizable offence committed:** On the basis of the complaint of Smt. Lakshmi Devi, FIR No. **DEBUG/2026** has been registered against accused **Venkatesh** for offences punishable under **Sections 118(2), 115(2) and 352 BNS** as invoked in the FIR. The said sections, as applied in the FIR, disclose commission of cognizable offences warranting police action and investigation.</w:t>
        <w:br/>
        <w:t xml:space="preserve"/>
        <w:br/>
        <w:t xml:space="preserve">2. **Evidence linking the accused with the offence:** The accused **Venkatesh** is specifically named in the complaint/FIR as the person alleged to have committed the acts attracting Sections **118(2), 115(2) and 352 BNS**. At this stage, the primary material available on record is the complaint leading to registration of the FIR, which directly attributes the alleged occurrence to the accused.</w:t>
        <w:br/>
        <w:t xml:space="preserve"/>
        <w:br/>
        <w:t xml:space="preserve">3. **Risk of absconding:** In view of registration of FIR for the aforesaid offences and initiation of investigation, there exists a reasonable apprehension that the accused may evade the process of law and may not cooperate with the investigation, thereby necessitating arrest to secure his presence and ensure availability for further investigative steps.</w:t>
        <w:br/>
        <w:t xml:space="preserve"/>
        <w:br/>
        <w:t xml:space="preserve">4. **Risk of tampering with evidence / influencing witnesses:** Since the case has arisen from a complaint and further investigation is required to identify and examine relevant witnesses and collect material evidence, there is a reasonable apprehension that, if left at liberty, the accused may attempt to influence/pressurize the complainant and prospective witnesses and may interfere with the collection of evidence connected with the alleged incident.</w:t>
        <w:br/>
        <w:t xml:space="preserve"/>
        <w:br/>
        <w:t xml:space="preserve">5. **Need for custody for investigation:** Custodial interrogation of the accused is required for effective investigation, including verification of the allegations as per FIR, ascertaining the circumstances of the occurrence, identification and tracing of witnesses and any material objects connected with the offence, and for ensuring the accused’s cooperation in completing necessary investigative formalities.</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