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DEBUG2/2026</w:t>
        <w:br/>
      </w:r>
      <w:r>
        <w:rPr>
          <w:b/>
        </w:rPr>
        <w:t xml:space="preserve">U/S: </w:t>
      </w:r>
      <w:r>
        <w:t xml:space="preserve">118(2) BNS, 352, 118(2), 115(2), 352</w:t>
        <w:br/>
      </w:r>
      <w:r>
        <w:rPr>
          <w:b/>
        </w:rPr>
        <w:t xml:space="preserve">Remand CD Dt: </w:t>
      </w:r>
      <w:r>
        <w:t xml:space="preserve">02.04.2026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w:t>
      </w:r>
    </w:p>
    <w:p/>
    <w:p>
      <w:r>
        <w:rPr>
          <w:b/>
        </w:rPr>
        <w:t>Honoured Sir,</w:t>
      </w:r>
    </w:p>
    <w:p/>
    <w:p>
      <w:r>
        <w:rPr>
          <w:b/>
        </w:rPr>
        <w:t>Brief facts of the case:</w:t>
        <w:br/>
        <w:br/>
      </w:r>
      <w:r>
        <w:t xml:space="preserve">1. On the basis of the written/oral complaint submitted by the complainant Smt. **Lakshmi Devi**, the present case was registered as **FIR No. DEBUG2/2026** at the concerned Police Station for offences punishable under **Sections 118(2), 115(2) and 352 of the Bharatiya Nyaya Sanhita (BNS)** (as reflected in the FIR). The identity of the accused is recorded as **Venkatesh**. The **place of occurrence** and **date of occurrence/registration** are as per the FIR record.</w:t>
        <w:br/>
        <w:t xml:space="preserve"/>
        <w:br/>
        <w:t xml:space="preserve">2. As per the complaint, the allegations disclose commission of offences pertaining to the above sections, involving **assault/use of criminal force and causing hurt**. The complaint attributes the incident to the accused **Venkatesh**, against whom the said penal sections were invoked at the time of registration of the FIR.</w:t>
        <w:br/>
        <w:t xml:space="preserve"/>
        <w:br/>
        <w:t xml:space="preserve">3. During investigation, the accused **Venkatesh** has been shown as the person who allegedly committed the acts complained of by Smt. Lakshmi Devi. The role attributed to the accused is confined to the allegations contained in the complaint and the FIR, and the case has been investigated on the said allegations under the above-mentioned sections.</w:t>
        <w:br/>
        <w:t xml:space="preserve"/>
        <w:br/>
        <w:t xml:space="preserve">4. The evidence collected/placed on record in the case file consists of the **complaint of Smt. Lakshmi Devi** and the **FIR (DEBUG2/2026)** containing the invoked sections **118(2), 115(2) and 352 BNS**. Other particulars such as **date, time, place of occurrence, list of witnesses, medical documentation (if any), and seizure/scene documentation (if any)** are as per the documents available in the police file/FIR record.</w:t>
      </w:r>
    </w:p>
    <w:p/>
    <w:p>
      <w:pPr>
        <w:jc w:val="center"/>
      </w:pPr>
      <w:r>
        <w:rPr>
          <w:b/>
        </w:rPr>
        <w:t>REASONS FOR ARREST:</w:t>
      </w:r>
    </w:p>
    <w:p>
      <w:r>
        <w:t xml:space="preserve">1. **Cognizable offence committed:** The accused **Venkatesh** is alleged, as per the complaint of Smt. **Lakshmi Devi** and the registration of **FIR No. DEBUG2/2026**, to have committed cognizable offences punishable under **Sections 118(2), 115(2) and 352 of the Bharatiya Nyaya Sanhita (BNS)**, relating to allegations of **assault/use of criminal force and causing hurt**, thereby necessitating lawful police action including arrest for effective investigation.</w:t>
        <w:br/>
        <w:t xml:space="preserve"/>
        <w:br/>
        <w:t xml:space="preserve">2. **Evidence linking the accused to the offence:** The accused is specifically **named and identified** in the complaint lodged by Smt. Lakshmi Devi, and the FIR has been registered against him on the basis of the said complaint. At this stage of investigation, the **complaint and FIR records** form the primary material linking the accused Venkatesh with the alleged incident under the above sections.</w:t>
        <w:br/>
        <w:t xml:space="preserve"/>
        <w:br/>
        <w:t xml:space="preserve">3. **Risk of absconding:** Considering that the accused has been named in a cognizable case and is liable for custodial interrogation and further investigative steps, there exists a reasonable apprehension that, if not arrested, he may **evade the process of law** and may not be readily available for investigation and subsequent legal proceedings.</w:t>
        <w:br/>
        <w:t xml:space="preserve"/>
        <w:br/>
        <w:t xml:space="preserve">4. **Risk of tampering with evidence / influencing witnesses:** As the case is based on the complainant’s version and allied inquiry to be conducted, there is a reasonable apprehension that, if left at liberty at this stage, the accused may **influence, threaten, or induce the complainant and other material witnesses**, and/or interfere with the collection of evidence connected with the alleged occurrence, thereby prejudicing the fair course of investigation.</w:t>
        <w:br/>
        <w:t xml:space="preserve"/>
        <w:br/>
        <w:t xml:space="preserve">5. **Need for custody for investigation:** Custodial detention of the accused is necessary for **effective and expeditious investigation**, including securing his presence for interrogation, confronting him with the allegations and available records, completing pending investigative formalities, and preventing obstruction to the investigation by ensuring that the accused remains available and does not interfere with the evidentiary process.</w:t>
      </w:r>
    </w:p>
    <w:p/>
    <w:p>
      <w:pPr>
        <w:jc w:val="center"/>
      </w:pPr>
      <w:r>
        <w:rPr>
          <w:b/>
        </w:rPr>
        <w:t>HENCE THE REMAND REPORT:</w:t>
      </w:r>
    </w:p>
    <w:p>
      <w:r>
        <w:t>It is therefore prayed that the Hon'ble Court may kindly remand the accused:</w:t>
        <w:br/>
        <w:br/>
        <w:t xml:space="preserve">1. Venkatesh, S/o Narayana</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