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FINAL-DEMO/2026</w:t>
        <w:br/>
      </w:r>
      <w:r>
        <w:rPr>
          <w:b/>
        </w:rPr>
        <w:t xml:space="preserve">U/S: </w:t>
      </w:r>
      <w:r>
        <w:t xml:space="preserve">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written/oral complaint submitted by the complainant Smt. Lakshmi Devi, FIR No. FINAL-DEMO/2026 was registered at the concerned Police Station against the accused Shri Venkatesh for the alleged commission of offences under Sections 352, 118(2) and 115(2) (as mentioned in the FIR). The place of occurrence and date/time of occurrence are not reflected in the documents provided.</w:t>
        <w:br/>
        <w:t xml:space="preserve"/>
        <w:br/>
        <w:t xml:space="preserve">As per the complaint, the nature of allegation pertains to the commission of the aforesaid offences, including allegations attracting Section 352 IPC (assault or use of criminal force otherwise than on grave provocation), along with Sections 118(2) and 115(2) as invoked in the FIR. The complainant has alleged involvement of the accused Shri Venkatesh in the incident forming the subject matter of the present case.</w:t>
        <w:br/>
        <w:t xml:space="preserve"/>
        <w:br/>
        <w:t xml:space="preserve">During the course of investigation, the accused Shri Venkatesh has been identified as the person named in the FIR. The specific acts attributed to the accused, the manner of commission, and details of injuries/loss, if any, are not available in the documents provided.</w:t>
        <w:br/>
        <w:t xml:space="preserve"/>
        <w:br/>
        <w:t xml:space="preserve">The documents provided do not contain particulars of evidence collected such as witness statements, medical examination reports, scene of occurrence mahazar/panchanama, seizure memos, CCTV/digital evidence, or other supporting records. Accordingly, the brief facts above are confined to the FIR registration particulars, the sections invoked, and the parties’ names as available on record.</w:t>
      </w:r>
    </w:p>
    <w:p/>
    <w:p>
      <w:pPr>
        <w:jc w:val="center"/>
      </w:pPr>
      <w:r>
        <w:rPr>
          <w:b/>
        </w:rPr>
        <w:t>REASONS FOR ARREST:</w:t>
      </w:r>
    </w:p>
    <w:p>
      <w:r>
        <w:t xml:space="preserve">1. **Cognizable offence committed:** In FIR No. FINAL-DEMO/2026, the accused Shri Venkatesh has been named for the alleged commission of offences under Sections 352, 118(2) and 115(2) (as reflected in the FIR). The allegations in the complaint disclose the commission of the above offences, warranting police action and investigation as per law.</w:t>
        <w:br/>
        <w:t xml:space="preserve"/>
        <w:br/>
        <w:t xml:space="preserve">2. **Evidence linking the accused to the offence:** The complaint of Smt. Lakshmi Devi forms the basis of registration of the FIR and specifically names/attributes involvement to the accused Shri Venkatesh in the incident. At this stage, the identification of the accused is primarily based on the complainant’s statement as available in the FIR/complaint materials; no other supporting materials are reflected in the documents provided.</w:t>
        <w:br/>
        <w:t xml:space="preserve"/>
        <w:br/>
        <w:t xml:space="preserve">3. **Risk of absconding:** In view of the registration of the present FIR against the accused for the above offences, there exists a reasonable apprehension that, if not secured, the accused may evade the process of law and may not be readily available for investigation and further legal proceedings. The particulars regarding the accused’s fixed residence/occupation and cooperation are not available in the documents provided.</w:t>
        <w:br/>
        <w:t xml:space="preserve"/>
        <w:br/>
        <w:t xml:space="preserve">4. **Risk of tampering with evidence / influencing witnesses:** The complainant is a key witness in the present case. There exists a reasonable apprehension that, if left at liberty at this stage, the accused may attempt to influence, intimidate, or otherwise interfere with the complainant and any other potential witnesses, and may also attempt to obstruct the collection of evidence connected to the occurrence. The present assessment is based on the nature of allegations and the need to preserve the integrity of investigation.</w:t>
        <w:br/>
        <w:t xml:space="preserve"/>
        <w:br/>
        <w:t xml:space="preserve">5. **Need for custody for investigation:** Custodial interrogation is required for effective investigation, including to ascertain the complete facts and circumstances of the incident, identify and examine relevant witnesses, verify the sequence of events, and to facilitate recovery/collection of any material evidence, if applicable. As the documents presently available do not reflect completion of these investigative steps, police custody is sought to ensure a fair, full, and effective investigation.</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