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FINAL-FIX/2026</w:t>
        <w:br/>
      </w:r>
      <w:r>
        <w:rPr>
          <w:b/>
        </w:rPr>
        <w:t xml:space="preserve">U/S: </w:t>
      </w:r>
      <w:r>
        <w:t xml:space="preserve">118(2), 115(2), 352,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written/oral complaint lodged by the complainant Smt. Lakshmi Devi, a case was registered as FIR No. **FINAL-FIX/2026** for offences punishable under **Sections 118(2), 115(2), and 352 (as mentioned in FIR)**. The complaint was taken on record at the concerned Police Station and the FIR was duly registered and investigation was initiated as per law. The **date and place of occurrence** are **not specified in the documents provided**.</w:t>
        <w:br/>
        <w:t xml:space="preserve"/>
        <w:br/>
        <w:t xml:space="preserve">As per the complaint, the allegations disclose commission of offences falling under the above sections, involving use of criminal force/assault as reflected by invocation of **Section 352**. The complainant has alleged the involvement of the accused **Venkatesh** in the said incident. The accused is shown as the sole accused in the present FIR.</w:t>
        <w:br/>
        <w:t xml:space="preserve"/>
        <w:br/>
        <w:t xml:space="preserve">During investigation, the statement of the complainant was recorded and the FIR and related complaint documents were secured and placed on file. The accused Venkatesh was identified as the person against whom the allegations are made in the complaint and FIR. The case file contains the FIR particulars, the names of the parties, and the sections applied as above.</w:t>
        <w:br/>
        <w:t xml:space="preserve"/>
        <w:br/>
        <w:t xml:space="preserve">As per the documents provided, no further material particulars regarding **date, time, location of incident, witnesses, medical evidence, scene mahazar, seizure details, or documentary/electronic evidence** have been furnished. The brief facts above are therefore confined to the contents available in the FIR particulars and the complaint details provided.</w:t>
      </w:r>
    </w:p>
    <w:p/>
    <w:p>
      <w:pPr>
        <w:jc w:val="center"/>
      </w:pPr>
      <w:r>
        <w:rPr>
          <w:b/>
        </w:rPr>
        <w:t>REASONS FOR ARREST:</w:t>
      </w:r>
    </w:p>
    <w:p>
      <w:r>
        <w:t xml:space="preserve">1. **Cognizable offence committed:** FIR No. **FINAL-FIX/2026** has been registered on the complaint of Smt. Lakshmi Devi for offences punishable under **Sections 118(2), 115(2) and 352 (as mentioned in FIR)**, which disclose allegations of use of criminal force/assault and related cognizable acts, warranting immediate police intervention and arrest for effective investigation.</w:t>
        <w:br/>
        <w:t xml:space="preserve"/>
        <w:br/>
        <w:t xml:space="preserve">2. **Evidence linking the accused to the offence:** The complainant Smt. Lakshmi Devi has specifically alleged the involvement of the accused **Venkatesh** in the incident forming the subject matter of the FIR. The **complaint**, the **FIR**, and the **statement of the complainant recorded during investigation** have been secured and placed on file, wherein the accused is identified as the person against whom allegations are made.</w:t>
        <w:br/>
        <w:t xml:space="preserve"/>
        <w:br/>
        <w:t xml:space="preserve">3. **Risk of absconding:** In view of registration of the above cognizable offences and initiation of investigation, there exists a reasonable apprehension that the accused **Venkatesh** may evade legal process and may not be available for interrogation and further proceedings, thereby obstructing the course of investigation.</w:t>
        <w:br/>
        <w:t xml:space="preserve"/>
        <w:br/>
        <w:t xml:space="preserve">4. **Risk of tampering with evidence / influencing witnesses:** Since the material evidence presently available is primarily the complainant’s version and related documents, there is a reasonable apprehension that if the accused is left at liberty at this stage, he may attempt to **influence, intimidate, or induce the complainant** or otherwise interfere with the collection of further evidence, thereby affecting a fair investigation.</w:t>
        <w:br/>
        <w:t xml:space="preserve"/>
        <w:br/>
        <w:t xml:space="preserve">5. **Need for custody for investigation:** Custodial interrogation of the accused is necessary to (i) verify the allegations and his role in the occurrence, (ii) ascertain relevant facts connected with the commission of the offences registered under the above sections, (iii) facilitate further investigation steps including identification of additional witnesses and collection of corroborative material, and (iv) ensure his presence and cooperation in the investigation and subsequent proceedings before the Hon’ble Court.</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