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FULL-TEST/2026    </w:t>
      </w:r>
      <w:r>
        <w:rPr>
          <w:b/>
        </w:rPr>
        <w:t xml:space="preserve">CD Dt: </w:t>
      </w:r>
      <w:r>
        <w:t xml:space="preserve">02.04.2026</w:t>
        <w:br/>
      </w:r>
      <w:r>
        <w:rPr>
          <w:b/>
        </w:rPr>
        <w:t xml:space="preserve">Offence u/s </w:t>
      </w:r>
      <w:r>
        <w:t xml:space="preserve">118(2), 115(2), 352,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written complaint submitted by Smt. Lakshmi Devi, a case was registered at the concerned Police Station vide FIR No. **FULL-TEST/2026** for the offences punishable under Sections **118(2), 115(2) and 352 (as mentioned in FIR)**. The said FIR was registered against the accused **Venkatesh**. The place of occurrence and date of occurrence are not reflected in the documents provided.</w:t>
        <w:br/>
        <w:t xml:space="preserve"/>
        <w:br/>
        <w:t xml:space="preserve">As per the complaint and FIR contents made available, the allegations disclose commission of the above-mentioned offences, inter alia relating to assault/use of criminal force and allied acts as invoked in the FIR. The complainant is Smt. Lakshmi Devi and the accused is Venkatesh, as recorded in the FIR.</w:t>
        <w:br/>
        <w:t xml:space="preserve"/>
        <w:br/>
        <w:t xml:space="preserve">During the course of investigation, the accused Venkatesh has been shown as the person against whom the allegations are made in the complaint leading to registration of the FIR. The specific manner of occurrence, the sequence of events, and any details regarding injuries, damage, weapons/objects used, or presence of witnesses are not available in the provided raw documents.</w:t>
        <w:br/>
        <w:t xml:space="preserve"/>
        <w:br/>
        <w:t xml:space="preserve">The documents supplied do not contain particulars of evidence collected such as witness statements, medical examination records, spot mahazar/scene of offence panchanama, seizure memos, photographs/video, CCTV footage, call detail records, or other material objects. Accordingly, this Brief Facts summary is confined to the FIR registration particulars and parties/sections as provided, and further evidentiary details may be incorporated upon availability of the complete case diary and supporting documents.</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