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FULL-TEST/2026</w:t>
        <w:br/>
      </w:r>
      <w:r>
        <w:rPr>
          <w:b/>
        </w:rPr>
        <w:t xml:space="preserve">U/S: </w:t>
      </w:r>
      <w:r>
        <w:t xml:space="preserve">118(2), 115(2), 352,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 complaint submitted by Smt. Lakshmi Devi, a case was registered at the concerned Police Station vide FIR No. **FULL-TEST/2026** for the offences punishable under Sections **118(2), 115(2) and 352 (as mentioned in FIR)**. The said FIR was registered against the accused **Venkatesh**. The place of occurrence and date of occurrence are not reflected in the documents provided.</w:t>
        <w:br/>
        <w:t xml:space="preserve"/>
        <w:br/>
        <w:t xml:space="preserve">As per the complaint and FIR contents made available, the allegations disclose commission of the above-mentioned offences, inter alia relating to assault/use of criminal force and allied acts as invoked in the FIR. The complainant is Smt. Lakshmi Devi and the accused is Venkatesh, as recorded in the FIR.</w:t>
        <w:br/>
        <w:t xml:space="preserve"/>
        <w:br/>
        <w:t xml:space="preserve">During the course of investigation, the accused Venkatesh has been shown as the person against whom the allegations are made in the complaint leading to registration of the FIR. The specific manner of occurrence, the sequence of events, and any details regarding injuries, damage, weapons/objects used, or presence of witnesses are not available in the provided raw documents.</w:t>
        <w:br/>
        <w:t xml:space="preserve"/>
        <w:br/>
        <w:t xml:space="preserve">The documents supplied do not contain particulars of evidence collected such as witness statements, medical examination records, spot mahazar/scene of offence panchanama, seizure memos, photographs/video, CCTV footage, call detail records, or other material objects. Accordingly, this Brief Facts summary is confined to the FIR registration particulars and parties/sections as provided, and further evidentiary details may be incorporated upon availability of the complete case diary and supporting documents.</w:t>
      </w:r>
    </w:p>
    <w:p/>
    <w:p>
      <w:pPr>
        <w:jc w:val="center"/>
      </w:pPr>
      <w:r>
        <w:rPr>
          <w:b/>
        </w:rPr>
        <w:t>REASONS FOR ARREST:</w:t>
      </w:r>
    </w:p>
    <w:p>
      <w:r>
        <w:t xml:space="preserve">1. **Cognizable offence committed:** A cognizable case has been registered vide FIR No. **FULL-TEST/2026** on the written complaint of Smt. **Lakshmi Devi** for offences punishable under Sections **118(2), 115(2) and 352 (as mentioned in FIR)**, which disclose allegations of assault/use of criminal force and allied acts, attracting police power to arrest for proper investigation and prevention of further offence.</w:t>
        <w:br/>
        <w:t xml:space="preserve"/>
        <w:br/>
        <w:t xml:space="preserve">2. **Evidence linking the accused to the offence:** The accused **Venkatesh** is specifically named and implicated in the written complaint of the complainant and in the FIR as the person against whom the allegations are made. At this stage, the complaint/FIR constitutes the primary material connecting the accused with the commission of the alleged offences, pending further corroborative material during investigation.</w:t>
        <w:br/>
        <w:t xml:space="preserve"/>
        <w:br/>
        <w:t xml:space="preserve">3. **Risk of absconding:** In view of the registration of the aforesaid cognizable offences against the accused and to secure his presence before the Investigating Officer and the Hon’ble Court for investigation and further proceedings, there is a likelihood that the accused may evade process and abscond if not taken into custody.</w:t>
        <w:br/>
        <w:t xml:space="preserve"/>
        <w:br/>
        <w:t xml:space="preserve">4. **Risk of tampering with evidence / influencing witnesses:** Considering that the complainant is the principal witness and the case hinges upon recording of statements and collection of further material, there is a reasonable apprehension that the accused may threaten, induce or influence the complainant and other material witnesses, and may attempt to interfere with the course of investigation, thereby causing prejudice to fair investigation.</w:t>
        <w:br/>
        <w:t xml:space="preserve"/>
        <w:br/>
        <w:t xml:space="preserve">5. **Need for custody for investigation:** Custodial interrogation of the accused is necessary to ascertain the full facts and sequence of events, to identify and trace any other witnesses, to facilitate collection of further evidence such as scene-of-offence particulars, medical/legal documentation (if any), and other relevant materials, and to ensure the accused’s cooperation and availability for completion of investigation within the statutory framework.</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