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HTML-TEST/2026    </w:t>
      </w:r>
      <w:r>
        <w:rPr>
          <w:b/>
        </w:rPr>
        <w:t xml:space="preserve">CD Dt: </w:t>
      </w:r>
      <w:r>
        <w:t xml:space="preserve">02.04.2026</w:t>
        <w:br/>
      </w:r>
      <w:r>
        <w:rPr>
          <w:b/>
        </w:rPr>
        <w:t xml:space="preserve">Offence u/s </w:t>
      </w:r>
      <w:r>
        <w:t xml:space="preserve">118(2), 115(2), 352, 352, 118(2) BNS</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 complaint submitted by Smt. Lakshmi Devi, a case was registered at the Police Station concerned vide FIR No. **HTML-TEST/2026** for offences punishable under **Sections 118(2), 115(2), 352, 352 and 118(2) of the Bharatiya Nyaya Sanhita (BNS)**. The complainant has alleged commission of the aforesaid offences by the accused **Venkatesh**. (The **date** and **place of occurrence** are not specified in the documents provided.)</w:t>
        <w:br/>
        <w:t xml:space="preserve"/>
        <w:br/>
        <w:t xml:space="preserve">As per the complaint contents, the nature of the offence pertains to acts attracting the above-mentioned sections of BNS, involving allegations of assault/use of criminal force as reflected from the invocation of **Section 352 BNS** along with the other cited sections. The complainant has named **Venkatesh** as the accused person responsible for the alleged incident forming the subject matter of the present FIR.</w:t>
        <w:br/>
        <w:t xml:space="preserve"/>
        <w:br/>
        <w:t xml:space="preserve">During investigation, the role of the accused **Venkatesh** has been recorded as per the allegations made in the complaint and the corresponding FIR registration. The investigating agency has proceeded in the matter on the basis of the complaint and the statutory sections invoked in FIR No. **HTML-TEST/2026**.</w:t>
        <w:br/>
        <w:t xml:space="preserve"/>
        <w:br/>
        <w:t xml:space="preserve">The documents provided for preparation of this brief facts summary contain the FIR particulars (FIR number, sections invoked, complainant and accused details) only. No additional case materials such as medical records/MLC, injury report, witness statements under law, scene of occurrence details, seizure memos, photographs/CCTV footage, call records, or arrest/recovery documents have been provided; accordingly, the evidence collected cannot be detailed beyond the complaint and FIR registration particulars available on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