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HTML-TEST/2026</w:t>
        <w:br/>
      </w:r>
      <w:r>
        <w:rPr>
          <w:b/>
        </w:rPr>
        <w:t xml:space="preserve">U/S: </w:t>
      </w:r>
      <w:r>
        <w:t xml:space="preserve">118(2), 115(2), 352, 352, 118(2) BNS</w:t>
        <w:br/>
      </w:r>
      <w:r>
        <w:rPr>
          <w:b/>
        </w:rPr>
        <w:t xml:space="preserve">Remand CD Dt: </w:t>
      </w:r>
      <w:r>
        <w:t xml:space="preserve">02.04.2026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w:t>
      </w:r>
    </w:p>
    <w:p/>
    <w:p>
      <w:r>
        <w:rPr>
          <w:b/>
        </w:rPr>
        <w:t>Honoured Sir,</w:t>
      </w:r>
    </w:p>
    <w:p/>
    <w:p>
      <w:r>
        <w:rPr>
          <w:b/>
        </w:rPr>
        <w:t>Brief facts of the case:</w:t>
        <w:br/>
        <w:br/>
      </w:r>
      <w:r>
        <w:t xml:space="preserve">On the basis of the written complaint submitted by Smt. Lakshmi Devi, a case was registered at the Police Station concerned vide FIR No. **HTML-TEST/2026** for offences punishable under **Sections 118(2), 115(2), 352, 352 and 118(2) of the Bharatiya Nyaya Sanhita (BNS)**. The complainant has alleged commission of the aforesaid offences by the accused **Venkatesh**. (The **date** and **place of occurrence** are not specified in the documents provided.)</w:t>
        <w:br/>
        <w:t xml:space="preserve"/>
        <w:br/>
        <w:t xml:space="preserve">As per the complaint contents, the nature of the offence pertains to acts attracting the above-mentioned sections of BNS, involving allegations of assault/use of criminal force as reflected from the invocation of **Section 352 BNS** along with the other cited sections. The complainant has named **Venkatesh** as the accused person responsible for the alleged incident forming the subject matter of the present FIR.</w:t>
        <w:br/>
        <w:t xml:space="preserve"/>
        <w:br/>
        <w:t xml:space="preserve">During investigation, the role of the accused **Venkatesh** has been recorded as per the allegations made in the complaint and the corresponding FIR registration. The investigating agency has proceeded in the matter on the basis of the complaint and the statutory sections invoked in FIR No. **HTML-TEST/2026**.</w:t>
        <w:br/>
        <w:t xml:space="preserve"/>
        <w:br/>
        <w:t xml:space="preserve">The documents provided for preparation of this brief facts summary contain the FIR particulars (FIR number, sections invoked, complainant and accused details) only. No additional case materials such as medical records/MLC, injury report, witness statements under law, scene of occurrence details, seizure memos, photographs/CCTV footage, call records, or arrest/recovery documents have been provided; accordingly, the evidence collected cannot be detailed beyond the complaint and FIR registration particulars available on record.</w:t>
      </w:r>
    </w:p>
    <w:p/>
    <w:p>
      <w:pPr>
        <w:jc w:val="center"/>
      </w:pPr>
      <w:r>
        <w:rPr>
          <w:b/>
        </w:rPr>
        <w:t>REASONS FOR ARREST:</w:t>
      </w:r>
    </w:p>
    <w:p>
      <w:r>
        <w:t xml:space="preserve">1. **Cognizable offence committed:** A cognizable case has been registered vide FIR No. **HTML-TEST/2026** under **Sections 118(2), 115(2), 352, 352 and 118(2) BNS**, on the written complaint of Smt. **Lakshmi Devi**, alleging commission of the said offences involving assault/use of criminal force, thereby necessitating immediate police action and investigation.</w:t>
        <w:br/>
        <w:t xml:space="preserve"/>
        <w:br/>
        <w:t xml:space="preserve">2. **Evidence linking the accused to the offence:** The accused **Venkatesh** has been specifically **named in the written complaint** as the person who committed the alleged acts, and the FIR has been registered on the basis of the said complaint. The accused’s involvement is thus prima facie reflected from the complainant’s statement forming the foundation of FIR No. **HTML-TEST/2026**.</w:t>
        <w:br/>
        <w:t xml:space="preserve"/>
        <w:br/>
        <w:t xml:space="preserve">3. **Risk of absconding:** In view of the registration of cognizable offences against the accused **Venkatesh**, there exists a likelihood that, upon learning of police action, the accused may evade arrest and **avoid participation in investigation and legal proceedings**, thereby hampering the course of justice.</w:t>
        <w:br/>
        <w:t xml:space="preserve"/>
        <w:br/>
        <w:t xml:space="preserve">4. **Risk of tampering with evidence / influencing witnesses:** Since the case originates from the complaint of the victim/complainant and the investigation is at a preliminary stage, there is a reasonable apprehension that the accused may **influence, intimidate or induce the complainant and other material witnesses**, and may also attempt to obstruct collection of evidence connected with the alleged incident.</w:t>
        <w:br/>
        <w:t xml:space="preserve"/>
        <w:br/>
        <w:t xml:space="preserve">5. **Need for custody for investigation:** Custodial interrogation of the accused **Venkatesh** is required for effective investigation, including verification of the allegations made in the complaint, ascertainment of the sequence of events, identification of relevant witnesses, and facilitating necessary investigative steps connected to the alleged offences under the above sections. Custody is further required to ensure the accused’s availability for investigation and to prevent interference with the investigation.</w:t>
      </w:r>
    </w:p>
    <w:p/>
    <w:p>
      <w:pPr>
        <w:jc w:val="center"/>
      </w:pPr>
      <w:r>
        <w:rPr>
          <w:b/>
        </w:rPr>
        <w:t>HENCE THE REMAND REPORT:</w:t>
      </w:r>
    </w:p>
    <w:p>
      <w:r>
        <w:t>It is therefore prayed that the Hon'ble Court may kindly remand the accused:</w:t>
        <w:br/>
        <w:br/>
        <w:t xml:space="preserve">1. Venkatesh, S/o Narayana</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