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REMAND CASE DIARY</w:t>
      </w:r>
    </w:p>
    <w:p>
      <w:pPr>
        <w:jc w:val="center"/>
      </w:pPr>
      <w:r>
        <w:t xml:space="preserve">Part-I</w:t>
      </w:r>
    </w:p>
    <w:p>
      <w:r>
        <w:rPr>
          <w:b/>
        </w:rPr>
        <w:t xml:space="preserve">Police Station: </w:t>
      </w:r>
      <w:r>
        <w:t xml:space="preserve">Makthal    </w:t>
      </w:r>
      <w:r>
        <w:rPr>
          <w:b/>
        </w:rPr>
        <w:t xml:space="preserve">Dist: </w:t>
      </w:r>
      <w:r>
        <w:t xml:space="preserve">Narayanpet</w:t>
        <w:br/>
      </w:r>
      <w:r>
        <w:rPr>
          <w:b/>
        </w:rPr>
        <w:t xml:space="preserve">Crime No.: </w:t>
      </w:r>
      <w:r>
        <w:t xml:space="preserve">NETWORK-TEST/2026</w:t>
        <w:br/>
      </w:r>
      <w:r>
        <w:rPr>
          <w:b/>
        </w:rPr>
        <w:t xml:space="preserve">U/S: </w:t>
      </w:r>
      <w:r>
        <w:t xml:space="preserve">352, 118(2), 115(2), 352</w:t>
        <w:br/>
      </w:r>
      <w:r>
        <w:rPr>
          <w:b/>
        </w:rPr>
        <w:t xml:space="preserve">Remand CD Dt: </w:t>
      </w:r>
      <w:r>
        <w:t xml:space="preserve">02.04.2026</w:t>
      </w:r>
    </w:p>
    <w:p/>
    <w:p>
      <w:r>
        <w:rPr>
          <w:b/>
        </w:rPr>
        <w:t xml:space="preserve">Previous case diary: </w:t>
      </w:r>
      <w:r>
        <w:t>This is the first Remand Case Diary.</w:t>
      </w:r>
    </w:p>
    <w:p>
      <w:r>
        <w:rPr>
          <w:b/>
        </w:rPr>
        <w:t xml:space="preserve">Name of the deceased: </w:t>
      </w:r>
      <w:r>
        <w:t>---</w:t>
      </w:r>
    </w:p>
    <w:p>
      <w:r>
        <w:rPr>
          <w:b/>
        </w:rPr>
        <w:t xml:space="preserve">Name of the witnesses examined: </w:t>
      </w:r>
      <w:r>
        <w:t xml:space="preserve">---</w:t>
      </w:r>
    </w:p>
    <w:p/>
    <w:p>
      <w:r>
        <w:rPr>
          <w:b/>
        </w:rPr>
        <w:t>Honoured Sir,</w:t>
      </w:r>
    </w:p>
    <w:p/>
    <w:p>
      <w:r>
        <w:rPr>
          <w:b/>
        </w:rPr>
        <w:t>Brief facts of the case:</w:t>
        <w:br/>
        <w:br/>
      </w:r>
      <w:r>
        <w:t xml:space="preserve">On the basis of the written/oral complaint submitted by the complainant Smt. Lakshmi Devi, a case was registered vide FIR No. **NETWORK-TEST/2026** for the offences punishable under Sections **352, 118(2), 115(2), and 352** against the accused **Venkatesh**. The place of occurrence and date of occurrence have not been specified in the documents provided.</w:t>
        <w:br/>
        <w:t xml:space="preserve"/>
        <w:br/>
        <w:t xml:space="preserve">As per the complaint allegations forming part of the FIR record, the incident pertains to conduct attracting the above-mentioned sections, involving alleged use of criminal force/assault and connected acts as reflected in the invoked provisions. The accused **Venkatesh** is shown as the person against whom the complainant has made allegations in the FIR, and he has been arrayed as the sole accused in the present case as per the available record.</w:t>
        <w:br/>
        <w:t xml:space="preserve"/>
        <w:br/>
        <w:t xml:space="preserve">During the course of investigation, the complainant’s complaint and the FIR were taken on record. The case has been proceeded with under the aforesaid sections on the basis of the complaint content and registration particulars. No further case documents detailing witnesses, medical examination, site inspection, seizure, electronic/digital evidence, or other material exhibits have been provided in the raw contents; hence, evidence collection is limited to the FIR/complaint record as available.</w:t>
        <w:br/>
        <w:t xml:space="preserve"/>
        <w:br/>
        <w:t xml:space="preserve">Accordingly, the brief facts for the purpose of the Charge Sheet are confined to the registration of FIR No. **NETWORK-TEST/2026**, the sections invoked therein, and the parties named, namely complainant **Lakshmi Devi** and accused **Venkatesh**, as per the documents supplied. Further particulars regarding date, place, sequence of events, and additional evidence, if any, are not reflected in the provided record.</w:t>
      </w:r>
    </w:p>
    <w:p/>
    <w:p>
      <w:pPr>
        <w:jc w:val="center"/>
      </w:pPr>
      <w:r>
        <w:rPr>
          <w:b/>
        </w:rPr>
        <w:t>REASONS FOR ARREST:</w:t>
      </w:r>
    </w:p>
    <w:p>
      <w:r>
        <w:t xml:space="preserve">1. **Cognizable offence committed:** The accused **Venkatesh** is implicated in FIR No. **NETWORK-TEST/2026** for commission of offences punishable under Sections **352, 118(2), 115(2), and 352**, which disclose allegations of assault/criminal force and allied acts as reflected in the invoked provisions. The registration of the FIR is based on the complaint of **Smt. Lakshmi Devi**, thereby disclosing commission of cognizable offences requiring prompt investigation.</w:t>
        <w:br/>
        <w:t xml:space="preserve"/>
        <w:br/>
        <w:t xml:space="preserve">2. **Evidence linking the accused to the offence:** At this stage, the material on record consists of the **complaint statement of the complainant Smt. Lakshmi Devi** and the **FIR** registered thereon, wherein the accused **Venkatesh** is specifically named and shown as the person against whom the allegations are made. The accused is arrayed as the **sole accused** as per the FIR record, thereby providing the foundational material connecting him with the alleged occurrence.</w:t>
        <w:br/>
        <w:t xml:space="preserve"/>
        <w:br/>
        <w:t xml:space="preserve">3. **Risk of absconding:** In view of the registration of the above cognizable offences against the accused and the likelihood of legal consequences flowing therefrom, there exists a reasonable apprehension that, if left at liberty at this stage, the accused may **evade the process of law** and may not be available for investigation and further proceedings.</w:t>
        <w:br/>
        <w:t xml:space="preserve"/>
        <w:br/>
        <w:t xml:space="preserve">4. **Risk of tampering with evidence / influencing witnesses:** The present case originates from the complaint of the complainant, and the investigation is at an initial stage. There is a reasonable apprehension that, if the accused is not secured, he may **attempt to influence, intimidate, or induce the complainant and other material persons**, and may interfere with the collection of further evidence connected with the allegations.</w:t>
        <w:br/>
        <w:t xml:space="preserve"/>
        <w:br/>
        <w:t xml:space="preserve">5. **Need for custody for investigation:** Custodial securing of the accused is necessary to ensure his **availability for examination**, to verify the allegations made in the complaint/FIR, to facilitate identification and development of further evidence/witnesses, and to prevent obstruction to the ongoing investigation. In the present stage, custody is sought to complete essential investigative steps in a lawful, fair, and expeditious manner.</w:t>
      </w:r>
    </w:p>
    <w:p/>
    <w:p>
      <w:pPr>
        <w:jc w:val="center"/>
      </w:pPr>
      <w:r>
        <w:rPr>
          <w:b/>
        </w:rPr>
        <w:t>HENCE THE REMAND REPORT:</w:t>
      </w:r>
    </w:p>
    <w:p>
      <w:r>
        <w:t>It is therefore prayed that the Hon'ble Court may kindly remand the accused:</w:t>
        <w:br/>
        <w:br/>
        <w:t xml:space="preserve">1. Venkatesh, S/o Narayana</w:t>
        <w:br/>
        <w:br/>
        <w:t>to judicial custody for a period of 15 days to enable the investigating officer to complete the investigation.</w:t>
      </w:r>
    </w:p>
    <w:p/>
    <w:p>
      <w:r>
        <w:rPr>
          <w:b/>
        </w:rPr>
        <w:t>Encl:</w:t>
      </w:r>
      <w:r>
        <w:br/>
        <w:t>1. Remand application</w:t>
        <w:br/>
        <w:t>2. Case diary copies</w:t>
        <w:br/>
        <w:t>3. Section 35(3) BNSS notice copies</w:t>
      </w:r>
    </w:p>
    <w:p/>
    <w:p>
      <w:pPr>
        <w:jc w:val="right"/>
      </w:pPr>
      <w:r>
        <w:t xml:space="preserve">()</w:t>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