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REMAND-TEST/2026</w:t>
        <w:br/>
      </w:r>
      <w:r>
        <w:rPr>
          <w:b/>
        </w:rPr>
        <w:t xml:space="preserve">U/S: </w:t>
      </w:r>
      <w:r>
        <w:t xml:space="preserve">118(2), 115(2), 352, 352</w:t>
        <w:br/>
      </w:r>
      <w:r>
        <w:rPr>
          <w:b/>
        </w:rPr>
        <w:t xml:space="preserve">Remand CD Dt: </w:t>
      </w:r>
      <w:r>
        <w:t xml:space="preserve">02.04.2026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w:t>
      </w:r>
    </w:p>
    <w:p/>
    <w:p>
      <w:r>
        <w:rPr>
          <w:b/>
        </w:rPr>
        <w:t>Honoured Sir,</w:t>
      </w:r>
    </w:p>
    <w:p/>
    <w:p>
      <w:r>
        <w:rPr>
          <w:b/>
        </w:rPr>
        <w:t>Brief facts of the case:</w:t>
        <w:br/>
        <w:br/>
      </w:r>
      <w:r>
        <w:t xml:space="preserve">On the basis of the complaint submitted by the complainant Smt. Lakshmi Devi, a case was registered as FIR No. **REMAND-TEST/2026** for the offences punishable under Sections **118(2), 115(2), 352, 352**. The accused in the present case is **Venkatesh**. The place of occurrence and date of occurrence are not mentioned in the available documents.</w:t>
        <w:br/>
        <w:t xml:space="preserve"/>
        <w:br/>
        <w:t xml:space="preserve">As per the contents of the complaint, the allegations disclose the commission of the aforesaid offences, including allegations attracting Section 352 (as mentioned in the FIR sections). The nature of the incident is recorded in the FIR/complaint materials available on file; however, specific particulars regarding the exact location, date, and manner of occurrence are not provided in the documents furnished for preparation of this brief facts summary.</w:t>
        <w:br/>
        <w:t xml:space="preserve"/>
        <w:br/>
        <w:t xml:space="preserve">During investigation, the role attributed to the accused **Venkatesh** is as stated by the complainant Smt. Lakshmi Devi in her complaint, forming the basis for registration of the FIR under the above sections. No additional documented particulars regarding other participants, weapons, injuries, or surrounding circumstances are available in the provided record.</w:t>
        <w:br/>
        <w:t xml:space="preserve"/>
        <w:br/>
        <w:t xml:space="preserve">Evidence collected in the present case, as per the documents supplied, includes the **complaint of Smt. Lakshmi Devi** and the corresponding **FIR registration details** bearing No. REMAND-TEST/2026 with the invoked sections. No further documents such as witness statements, medical records, spot mahazar, seizure mahazar, photographs, CCTV footage, or arrest/recovery memos have been provided in the case materials shared for this summary.</w:t>
      </w:r>
    </w:p>
    <w:p/>
    <w:p>
      <w:pPr>
        <w:jc w:val="center"/>
      </w:pPr>
      <w:r>
        <w:rPr>
          <w:b/>
        </w:rPr>
        <w:t>REASONS FOR ARREST:</w:t>
      </w:r>
    </w:p>
    <w:p>
      <w:r>
        <w:t xml:space="preserve">1. **Cognizable offence committed:** FIR No. **REMAND-TEST/2026** has been registered on the complaint of Smt. **Lakshmi Devi** for offences punishable under Sections **118(2), 115(2), 352, 352**. The allegations contained in the complaint, on the face of the record, disclose the commission of the said offences and necessitate immediate investigation in a cognizable case.</w:t>
        <w:br/>
        <w:t xml:space="preserve"/>
        <w:br/>
        <w:t xml:space="preserve">2. **Evidence linking the accused with the offence:** The complaint of Smt. **Lakshmi Devi**, which forms the basis of registration of the FIR, specifically attributes the role in the alleged incident to the accused **Venkatesh**. The said complaint and the FIR registration particulars are available on record as primary materials connecting the accused with the alleged offences at this stage of investigation.</w:t>
        <w:br/>
        <w:t xml:space="preserve"/>
        <w:br/>
        <w:t xml:space="preserve">3. **Risk of absconding / non-availability:** Considering that the accused is named in the FIR and apprehends legal action in connection with the aforesaid offences, there is a likelihood that he may evade investigation and may not cooperate with the Investigating Officer if left at liberty, thereby affecting his availability for interrogation and further legal process.</w:t>
        <w:br/>
        <w:t xml:space="preserve"/>
        <w:br/>
        <w:t xml:space="preserve">4. **Risk of tampering with evidence / influencing witnesses:** Since the case is at an initial stage and the material evidence presently comprises the complainant’s statement/complaint and the FIR record, there is a reasonable apprehension that, if not secured, the accused may attempt to influence or intimidate the complainant and/or interfere with the collection of further evidence, thereby prejudicing the investigation.</w:t>
        <w:br/>
        <w:t xml:space="preserve"/>
        <w:br/>
        <w:t xml:space="preserve">5. **Need for custody for purposes of investigation:** Custodial interrogation of the accused **Venkatesh** is required to ascertain the full facts and circumstances of the occurrence as alleged in the complaint, to verify the sequence of events, to identify any additional witnesses and relevant locations, and to facilitate further investigative steps. In view of the above, arrest is necessary to ensure effective investigation, prevent interference with the process of law, and secure the accused’s presence.</w:t>
      </w:r>
    </w:p>
    <w:p/>
    <w:p>
      <w:pPr>
        <w:jc w:val="center"/>
      </w:pPr>
      <w:r>
        <w:rPr>
          <w:b/>
        </w:rPr>
        <w:t>HENCE THE REMAND REPORT:</w:t>
      </w:r>
    </w:p>
    <w:p>
      <w:r>
        <w:t>It is therefore prayed that the Hon'ble Court may kindly remand the accused:</w:t>
        <w:br/>
        <w:br/>
        <w:t xml:space="preserve">1. Venkatesh, S/o Narayana</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