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SCREENSHOT-TEST/2026</w:t>
        <w:br/>
      </w:r>
      <w:r>
        <w:rPr>
          <w:b/>
        </w:rPr>
        <w:t xml:space="preserve">U/S: </w:t>
      </w:r>
      <w:r>
        <w:t xml:space="preserve">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1. On the basis of the written/oral complaint lodged by Smt. Lakshmi Devi, this Police Station registered FIR No. **SCREENSHOT-TEST/2026** for offences punishable under Sections **352, 118(2), 115(2) and 352** (as mentioned in the FIR). The accused person named in the FIR is **Venkatesh**. The **date and place of occurrence** and the **date of registration** are not mentioned in the documents provided.</w:t>
        <w:br/>
        <w:t xml:space="preserve"/>
        <w:br/>
        <w:t xml:space="preserve">2. As per the contents of the complaint and FIR, the alleged incident pertains to the commission of offences attracting the above-mentioned sections, involving use of **criminal force/assault** and connected acts as reflected by Sections **352, 118(2) and 115(2)** cited in the FIR. The complaint attributes the acts forming the subject matter of the FIR to the accused **Venkatesh**. The complainant is **Smt. Lakshmi Devi**, who is stated to be the aggrieved person/informant.</w:t>
        <w:br/>
        <w:t xml:space="preserve"/>
        <w:br/>
        <w:t xml:space="preserve">3. The role of the accused, as recorded in the FIR, is that **Venkatesh** is the person alleged to have committed the acts constituting the offences registered under the above sections. The FIR has been registered against him on the basis of the complainant’s allegations. No additional particulars regarding the manner of occurrence, weapon/means used, injuries, or specific overt acts are available in the provided raw contents beyond the naming of parties and invoked sections.</w:t>
        <w:br/>
        <w:t xml:space="preserve"/>
        <w:br/>
        <w:t xml:space="preserve">4. Evidence collection details are not reflected in the documents provided. Based on the available material, the only documented item is the **complaint leading to registration of FIR No. SCREENSHOT-TEST/2026** under the stated sections against accused Venkatesh. Details such as statements of witnesses, medical records, scene mahazar, seizure mahazar, photographs/video, or other documentary/material evidence are **not mentioned** in the provided case documents.</w:t>
      </w:r>
    </w:p>
    <w:p/>
    <w:p>
      <w:pPr>
        <w:jc w:val="center"/>
      </w:pPr>
      <w:r>
        <w:rPr>
          <w:b/>
        </w:rPr>
        <w:t>REASONS FOR ARREST:</w:t>
      </w:r>
    </w:p>
    <w:p>
      <w:r>
        <w:t xml:space="preserve">1. **Cognizable offence committed:** FIR No. **SCREENSHOT-TEST/2026** has been registered on the complaint of Smt. **Lakshmi Devi** against accused **Venkatesh** for offences punishable under Sections **352, 118(2), 115(2) and 352** (as cited in the FIR), which disclose allegations of **assault/criminal force** and connected acts, thereby necessitating police action and investigation in accordance with law.</w:t>
        <w:br/>
        <w:t xml:space="preserve"/>
        <w:br/>
        <w:t xml:space="preserve">2. **Evidence linking the accused to the offence:** The accused **Venkatesh** has been **specifically named** in the complaint/FIR as the person who committed the acts constituting the above offences, and the FIR has been registered on the basis of the complainant’s allegations. At this stage, the complaint and FIR particulars constitute the available material linking the accused to the alleged occurrence.</w:t>
        <w:br/>
        <w:t xml:space="preserve"/>
        <w:br/>
        <w:t xml:space="preserve">3. **Risk of absconding:** In view of the registration of the above offences against the accused, there exists a reasonable apprehension that the accused may **evade the process of law** and **abscond** to avoid arrest and interrogation, thereby hindering further investigation and timely completion of statutory procedures.</w:t>
        <w:br/>
        <w:t xml:space="preserve"/>
        <w:br/>
        <w:t xml:space="preserve">4. **Risk of tampering with evidence / influencing witnesses:** As the case has originated from a complaint and further evidence is yet to be collected, there exists a reasonable apprehension that, if left at large, the accused may **influence or intimidate the complainant and other material witnesses** and may attempt to **interfere with the collection of evidence**, thereby affecting the fairness and effectiveness of the investigation.</w:t>
        <w:br/>
        <w:t xml:space="preserve"/>
        <w:br/>
        <w:t xml:space="preserve">5. **Need for custody for investigation:** Custodial interrogation of the accused is necessary for **ascertaining the full facts and circumstances of the offence**, verifying the complaint allegations, identifying and examining witnesses, and facilitating further investigative steps in accordance with law. In the absence of custodial control, there is likelihood of **non-cooperation** and obstruction to the investigation.</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