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TEST-DEBUG/2026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352, 118(2) BNS</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written/oral complaint lodged by the complainant Smt. Lakshmi Devi, FIR No. **TEST-DEBUG/2026** was registered at the concerned Police Station for offences punishable under Sections **118(2), 115(2), 352, 352, 118(2) of the Bharatiya Nyaya Sanhita (BNS)** against the accused **Venkatesh**. The place of occurrence and date of occurrence/registration are not mentioned in the documents provided.</w:t>
              <w:br/>
              <w:t xml:space="preserve"/>
              <w:br/>
              <w:t xml:space="preserve">As per the contents of the FIR/complaint on record, the allegations disclose the commission of the above-mentioned offences, including allegations attracting Section **352 BNS** and the other cited sections. The complaint names accused **Venkatesh** as the person against whom the said allegations have been made, and the case has been registered accordingly.</w:t>
              <w:br/>
              <w:t xml:space="preserve"/>
              <w:br/>
              <w:t xml:space="preserve">During investigation, the Investigating Officer took up necessary steps as per law in relation to the allegations made by the complainant. The role attributed in the complaint/FIR is that the accused **Venkatesh** is the principal person alleged to have committed the acts constituting the offences mentioned in the FIR.</w:t>
              <w:br/>
              <w:t xml:space="preserve"/>
              <w:br/>
              <w:t xml:space="preserve">The case record provided does not contain specific details regarding the evidence collected (such as witness statements, medical records, scene of offence mahazar, seizure mahazar, documents, or other material objects). Accordingly, the charge sheet brief facts are limited to the FIR registration particulars and the accused/sections as stated above.</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