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TEST-DEBUG/2026</w:t>
        <w:br/>
      </w:r>
      <w:r>
        <w:rPr>
          <w:b/>
        </w:rPr>
        <w:t xml:space="preserve">U/S: </w:t>
      </w:r>
      <w:r>
        <w:t xml:space="preserve">118(2), 115(2), 352, 352, 118(2) BNS</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written/oral complaint lodged by the complainant Smt. Lakshmi Devi, FIR No. **TEST-DEBUG/2026** was registered at the concerned Police Station for offences punishable under Sections **118(2), 115(2), 352, 352, 118(2) of the Bharatiya Nyaya Sanhita (BNS)** against the accused **Venkatesh**. The place of occurrence and date of occurrence/registration are not mentioned in the documents provided.</w:t>
        <w:br/>
        <w:t xml:space="preserve"/>
        <w:br/>
        <w:t xml:space="preserve">As per the contents of the FIR/complaint on record, the allegations disclose the commission of the above-mentioned offences, including allegations attracting Section **352 BNS** and the other cited sections. The complaint names accused **Venkatesh** as the person against whom the said allegations have been made, and the case has been registered accordingly.</w:t>
        <w:br/>
        <w:t xml:space="preserve"/>
        <w:br/>
        <w:t xml:space="preserve">During investigation, the Investigating Officer took up necessary steps as per law in relation to the allegations made by the complainant. The role attributed in the complaint/FIR is that the accused **Venkatesh** is the principal person alleged to have committed the acts constituting the offences mentioned in the FIR.</w:t>
        <w:br/>
        <w:t xml:space="preserve"/>
        <w:br/>
        <w:t xml:space="preserve">The case record provided does not contain specific details regarding the evidence collected (such as witness statements, medical records, scene of offence mahazar, seizure mahazar, documents, or other material objects). Accordingly, the charge sheet brief facts are limited to the FIR registration particulars and the accused/sections as stated above.</w:t>
      </w:r>
    </w:p>
    <w:p/>
    <w:p>
      <w:pPr>
        <w:jc w:val="center"/>
      </w:pPr>
      <w:r>
        <w:rPr>
          <w:b/>
        </w:rPr>
        <w:t>REASONS FOR ARREST:</w:t>
      </w:r>
    </w:p>
    <w:p>
      <w:r>
        <w:t xml:space="preserve">1. **Cognizable offence disclosed:** FIR No. **TEST-DEBUG/2026** has been registered on the complaint of Smt. **Lakshmi Devi** for offences punishable under Sections **118(2), 115(2), 352, 352, 118(2) of the BNS**. The allegations contained in the complaint disclose commission of the said offences and necessitate immediate police action and investigation as per law.</w:t>
        <w:br/>
        <w:t xml:space="preserve"/>
        <w:br/>
        <w:t xml:space="preserve">2. **Material linking the accused with the offence:** The complainant Smt. **Lakshmi Devi** has specifically named **Venkatesh** as the accused person in the complaint/FIR and has attributed to him the acts constituting the offences mentioned therein. Thus, at this stage of investigation, the FIR/complaint on record forms the prima facie material connecting the accused with the alleged occurrence.</w:t>
        <w:br/>
        <w:t xml:space="preserve"/>
        <w:br/>
        <w:t xml:space="preserve">3. **Likelihood of absconding:** In view of the registration of the above cognizable offences against the accused **Venkatesh**, there exists a reasonable apprehension that, if not secured, he may evade the process of law and may not be readily available for examination and further investigation, thereby obstructing the course of justice.</w:t>
        <w:br/>
        <w:t xml:space="preserve"/>
        <w:br/>
        <w:t xml:space="preserve">4. **Possibility of tampering with evidence / influencing witnesses:** The complainant has made allegations directly against the accused. In such circumstances, there is a reasonable apprehension that, if left at liberty, the accused **Venkatesh** may attempt to influence, threaten, or induce the complainant and other material witnesses, and/or interfere with the collection of evidence connected with the occurrence.</w:t>
        <w:br/>
        <w:t xml:space="preserve"/>
        <w:br/>
        <w:t xml:space="preserve">5. **Necessity of custody for effective investigation:** Custodial securing of the accused is required for effective investigation, including for his detailed examination and verification of the allegations, identification of the place and manner of occurrence, and for facilitating lawful investigative steps that may be necessary upon further inquiry. In the absence of custody, the investigation is likely to be impeded due to non-cooperation, evasion, and potential interference with the ongoing investigative process.</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