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25    </w:t>
      </w:r>
      <w:r>
        <w:rPr>
          <w:b/>
        </w:rPr>
        <w:t xml:space="preserve">CD Dt: </w:t>
      </w:r>
      <w:r>
        <w:t xml:space="preserve">03.04.2026</w:t>
        <w:br/>
      </w:r>
      <w:r>
        <w:rPr>
          <w:b/>
        </w:rPr>
        <w:t xml:space="preserve">Offence u/s </w:t>
      </w:r>
      <w:r>
        <w:t xml:space="preserve">3(5), 35(3), 35, 180(3), 1118(2), 115(2), 352, (3), 118(1), 115(2),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4:00 pm</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A1. Chandapuram Manikanta</w:t>
              <w:br/>
              <w:t xml:space="preserve">Chandrashekar, S/o Chandapuram Manikanta</w:t>
              <w:br/>
              <w:t xml:space="preserve">Chandrashekar, R/o Nethajinagar</w:t>
              <w:br/>
              <w:t xml:space="preserve">1. Pujari Nandakishor, S/o Pujari Subhash, R/o H.No. 2-72 Maganoor Village  Mandal</w:t>
              <w:br/>
              <w:t xml:space="preserve">A3. tances from you, S/o Pujari Subhash, R/o H No.2-72 Maganoor Village</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LW-7. Chandapuram Manikanta</w:t>
              <w:br/>
              <w:t xml:space="preserve">Chandrashekar, LW-1. Chandapuram Manikanta</w:t>
            </w:r>
          </w:p>
        </w:tc>
      </w:tr>
    </w:tbl>
    <w:p/>
    <w:p>
      <w:r>
        <w:rPr>
          <w:b/>
        </w:rPr>
        <w:t>INVESTIGATION NARRATIVE:</w:t>
      </w:r>
    </w:p>
    <w:p>
      <w:r>
        <w:t>On this day I resumed further investigation into this case.</w:t>
        <w:br/>
        <w:br/>
        <w:t xml:space="preserve">On 22/02/2026, on receipt of the complaint of LW-1 (male), Makthal Police Station registered FIR No. 25 for offences under Sections 3(5), 35(3), 35, 180(3), 118(2), 115(2), 352, 118(1) and 1118(2) (as mentioned in FIR). During investigation, the statement of LW-1 was recorded under Section 180(3) of BNSS and incorporated in Part-II Case Diary at the Police Station. LW-1 was sent to Government Area Hospital, Makthal for treatment and for issuance of wound certificate.</w:t>
        <w:br/>
        <w:t xml:space="preserve"/>
        <w:br/>
        <w:t xml:space="preserve">The place of occurrence is recorded as Sukanya Glass Frame Work Shop, Nethajinagar, Makthal Town, situated approximately 500 meters east of Makthal Police Station. The case pertains to an incident involving alleged assault/use of criminal force and related acts as reflected in the invoked sections. During the course of investigation on the same day, the Investigating Officer visited the scene of offence and conducted further proceedings.</w:t>
        <w:br/>
        <w:t xml:space="preserve"/>
        <w:br/>
        <w:t xml:space="preserve">At the scene, the Investigating Officer secured two mediators, LW-5 and LW-6, and in their presence conducted the Scene of Offence Panchanama. A detailed rough sketch of the scene was prepared in the Crime Detail Form. During the panchanama, the scene was searched for case property; however, no material object was found and nothing was seized at the spot. Further, the statements of LW-2 to LW-4 were examined and recorded under Section 180(3) of BNSS at the spot and incorporated in the Part-II Case Diary.</w:t>
        <w:br/>
        <w:t xml:space="preserve"/>
        <w:br/>
        <w:t xml:space="preserve">Subsequently, the accused persons, including Chandapuram Manikanta, Chandrashekar, and Pujari Nandakishor, came to the Police Station and surrendered before the Investigating Officer. On their surrender, notice under Section 35(3) of BNSS was served and they were instructed to appear on 23/02/2026 along with their identity proofs and relevant documents. The evidence collected as per record includes the statements of LW-1 to LW-4 under Section 180(3) BNSS, the Scene of Offence Panchanama with mediators LW-5 and LW-6, the rough sketch/Crime Detail Form, and the medical referral of LW-1 to Government Area Hospital, Makthal for treatment and wound certificate.</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