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26/2026    </w:t>
      </w:r>
      <w:r>
        <w:rPr>
          <w:b/>
        </w:rPr>
        <w:t xml:space="preserve">CD Dt: </w:t>
      </w:r>
      <w:r>
        <w:t xml:space="preserve">03.04.2026</w:t>
        <w:br/>
      </w:r>
      <w:r>
        <w:rPr>
          <w:b/>
        </w:rPr>
        <w:t xml:space="preserve">Offence u/s </w:t>
      </w:r>
      <w:r>
        <w:t xml:space="preserve">180(3), 1118(2), 115(2), 352, 35, 3(5), 118(1), 115(2), 352, 35(3), (3)</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4:00 pm</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Age Male, Age: 2 years, Caste: Occupation Address, Occ: Address Injury Injury No, R/o Injury Injury No. 02 03 04 Manikantha 06. Motive of crime: Vandrasekhar 22 05 Male 06 07 08: 09 10 / Indian Hindu Simple Houst Mudiraj کی پاکده 07. Details of, Ph. 7981445086</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A1. Chandapuram Manikanta, S/o Chandrashekar, R/o Nethajinagar</w:t>
              <w:br/>
              <w:t xml:space="preserve">1. Pujari Nandakishor, S/o Pujari Subhash, R/o H.No. 2-72 Maganoor Village  Mandal</w:t>
              <w:br/>
              <w:t xml:space="preserve">A3. tances from you, S/o Pujari Subhash, R/o H No.2-72 Maganoor Village</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LW-7. Chandapuram Manikanta</w:t>
              <w:br/>
              <w:t xml:space="preserve">Chandrashekar, LW-1. Chandapuram Manikanta</w:t>
            </w:r>
          </w:p>
        </w:tc>
      </w:tr>
    </w:tbl>
    <w:p/>
    <w:p>
      <w:r>
        <w:rPr>
          <w:b/>
        </w:rPr>
        <w:t>INVESTIGATION NARRATIVE:</w:t>
      </w:r>
    </w:p>
    <w:p>
      <w:r>
        <w:t>On this day I resumed further investigation into this case.</w:t>
        <w:br/>
        <w:br/>
        <w:t xml:space="preserve">On 22/02/2026, in connection with FIR No. 26/2026 of Makthal Police Station, a complaint was registered and the investigation was taken up under the sections mentioned in the FIR, including Section 180(3) of BNSS and other applicable provisions as reflected in the case record. The complainant is a male (age not specified in the FIR details provided). Pursuant to the complaint, the Investigating Officer recorded the statement of the complainant/LW-1 under Section 180(3) BNSS, incorporated the same in Part-II Case Diary at the Police Station, and sent him to Government Area Hospital, Makthal, for treatment and for issuance of wound certificate.</w:t>
        <w:br/>
        <w:t xml:space="preserve"/>
        <w:br/>
        <w:t xml:space="preserve">During the course of investigation on 22/02/2026, the Investigating Officer visited the scene of offence situated at Sukanya Glass Frame Work Shop, Nethajinagar, Makthal Town, located approximately 500 meters east of the Police Station. The surroundings were observed and, in the presence of mediators (LW-5 and LW-6), a Scene of Offence Panchanama was conducted and a detailed rough sketch of the crime scene was prepared in the Crime Detail Form. During the panchanama, a search was conducted for case property; however, no material object was found or seized at the spot as per the recorded proceedings.</w:t>
        <w:br/>
        <w:t xml:space="preserve"/>
        <w:br/>
        <w:t xml:space="preserve">Further, at the scene, the Investigating Officer examined and recorded the statements of LW-2 to LW-4 under Section 180(3) BNSS and incorporated them in the Part-II Case Diaries. Subsequently, the accused persons, namely (1) Chandapuram Manikanta and (2) Pujari Nandakishor, came to the Police Station and surrendered before the Investigating Officer and, as recorded, admitted their involvement in the offence. Thereupon, notice under Section 35(3) BNSS was served on both accused, directing them to appear on 23/02/2026 along with their ID proofs and relevant documents, and the case diary notes the requirement to collect their ID proofs and acknowledgement receipts for further finalisation of the case.</w:t>
        <w:br/>
        <w:t xml:space="preserve"/>
        <w:br/>
        <w:t xml:space="preserve">The evidence collected/recorded up to 22/02/2026 includes: (i) statement of LW-1 recorded under Section 180(3) BNSS; (ii) referral of LW-1 to Government Area Hospital, Makthal, for treatment and wound certificate; (iii) Scene of Offence Panchanama conducted in the presence of LW-5 and LW-6; (iv) rough sketch/Crime Detail Form of the scene; (v) statements of LW-2 to LW-4 recorded under Section 180(3) BNSS; and (vi) service of notice under Section 35(3) BNSS to the accused persons with direction to appear with identification documents. No case property was seized from the scene as per the panchanama and case diary entry.</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