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Perimeter Sensor Familiarisation - Decision</w:t>
      </w:r>
    </w:p>
    <w:p>
      <w:r>
        <w:t>Document ID: SYN-PDY-FNC-019-DECISION-071</w:t>
      </w:r>
    </w:p>
    <w:p>
      <w:r>
        <w:t>Proposal ID: SYN-PDY-FNC-019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Perimeter Sensor Familiarisation</w:t>
      </w:r>
    </w:p>
    <w:p>
      <w:r>
        <w:t>Proposal ID: SYN-PDY-FNC-019</w:t>
      </w:r>
    </w:p>
    <w:p/>
    <w:p>
      <w:r>
        <w:t>ILLUSTRATIVE DECISION</w:t>
      </w:r>
    </w:p>
    <w:p>
      <w:r>
        <w:t>Decision status: Deferred</w:t>
      </w:r>
    </w:p>
    <w:p>
      <w:r>
        <w:t>Rationale in this fictional scenario: The fictional brief was paused pending budget or overlap checks.</w:t>
      </w:r>
    </w:p>
    <w:p>
      <w:r>
        <w:t>Related records: SYN-PDY-CCTV-002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