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Evidence Locker Tag Pilot - Implementation</w:t>
      </w:r>
    </w:p>
    <w:p>
      <w:r>
        <w:t>Document ID: SYN-PDY-RFID-011-IMPLEMENTATION-038</w:t>
      </w:r>
    </w:p>
    <w:p>
      <w:r>
        <w:t>Proposal ID: SYN-PDY-RFID-011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Evidence Locker Tag Pilot</w:t>
      </w:r>
    </w:p>
    <w:p>
      <w:r>
        <w:t>Proposal ID: SYN-PDY-RFID-011</w:t>
      </w:r>
    </w:p>
    <w:p/>
    <w:p>
      <w:r>
        <w:t>IMPLEMENTATION UPDATE (FICTIONAL)</w:t>
      </w:r>
    </w:p>
    <w:p>
      <w:r>
        <w:t>Implementation status: In Progress</w:t>
      </w:r>
    </w:p>
    <w:p>
      <w:r>
        <w:t>Site: Demo North Station</w:t>
      </w:r>
    </w:p>
    <w:p>
      <w:r>
        <w:t>Work described: install or issue 200 tags using Passive RFID tags and handheld reader.</w:t>
      </w:r>
    </w:p>
    <w:p>
      <w:r>
        <w:t>Issues recorded for training: scheduling delay and one warranty query.</w:t>
      </w:r>
    </w:p>
    <w:p>
      <w:r>
        <w:t>Repair history should be written into the linked maintenance or asset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