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Fictional Corp: Quarterly Report</w:t>
      </w:r>
    </w:p>
    <w:p>
      <w:r>
        <w:t>Acme Fictional Corp is an invented company used only to test table extraction and citation in this project's evaluation corpus. The figures below are synthetic and do not describe any real business.</w:t>
      </w:r>
    </w:p>
    <w:p>
      <w:pPr>
        <w:pStyle w:val="Heading2"/>
      </w:pPr>
      <w:r>
        <w:t>Revenue by Quarter</w:t>
      </w:r>
    </w:p>
    <w:p>
      <w:r>
        <w:t>Table 1: Quarterly revenue for fiscal year 2025 (synthetic data, in millions of dollars)</w:t>
      </w:r>
    </w:p>
    <w:tbl>
      <w:tblPr>
        <w:tblW w:type="auto" w:w="0"/>
        <w:tblLook w:firstColumn="1" w:firstRow="1" w:lastColumn="0" w:lastRow="0" w:noHBand="0" w:noVBand="1" w:val="04A0"/>
      </w:tblPr>
      <w:tblGrid>
        <w:gridCol w:w="4320"/>
        <w:gridCol w:w="4320"/>
      </w:tblGrid>
      <w:tr>
        <w:tc>
          <w:tcPr>
            <w:tcW w:type="dxa" w:w="4320"/>
          </w:tcPr>
          <w:p>
            <w:r>
              <w:t>Quarter</w:t>
            </w:r>
          </w:p>
        </w:tc>
        <w:tc>
          <w:tcPr>
            <w:tcW w:type="dxa" w:w="4320"/>
          </w:tcPr>
          <w:p>
            <w:r>
              <w:t>Revenue ($M)</w:t>
            </w:r>
          </w:p>
        </w:tc>
      </w:tr>
      <w:tr>
        <w:tc>
          <w:tcPr>
            <w:tcW w:type="dxa" w:w="4320"/>
          </w:tcPr>
          <w:p>
            <w:r>
              <w:t>Q1</w:t>
            </w:r>
          </w:p>
        </w:tc>
        <w:tc>
          <w:tcPr>
            <w:tcW w:type="dxa" w:w="4320"/>
          </w:tcPr>
          <w:p>
            <w:r>
              <w:t>1.2</w:t>
            </w:r>
          </w:p>
        </w:tc>
      </w:tr>
      <w:tr>
        <w:tc>
          <w:tcPr>
            <w:tcW w:type="dxa" w:w="4320"/>
          </w:tcPr>
          <w:p>
            <w:r>
              <w:t>Q2</w:t>
            </w:r>
          </w:p>
        </w:tc>
        <w:tc>
          <w:tcPr>
            <w:tcW w:type="dxa" w:w="4320"/>
          </w:tcPr>
          <w:p>
            <w:r>
              <w:t>1.5</w:t>
            </w:r>
          </w:p>
        </w:tc>
      </w:tr>
      <w:tr>
        <w:tc>
          <w:tcPr>
            <w:tcW w:type="dxa" w:w="4320"/>
          </w:tcPr>
          <w:p>
            <w:r>
              <w:t>Q3</w:t>
            </w:r>
          </w:p>
        </w:tc>
        <w:tc>
          <w:tcPr>
            <w:tcW w:type="dxa" w:w="4320"/>
          </w:tcPr>
          <w:p>
            <w:r>
              <w:t>1.4</w:t>
            </w:r>
          </w:p>
        </w:tc>
      </w:tr>
      <w:tr>
        <w:tc>
          <w:tcPr>
            <w:tcW w:type="dxa" w:w="4320"/>
          </w:tcPr>
          <w:p>
            <w:r>
              <w:t>Q4</w:t>
            </w:r>
          </w:p>
        </w:tc>
        <w:tc>
          <w:tcPr>
            <w:tcW w:type="dxa" w:w="4320"/>
          </w:tcPr>
          <w:p>
            <w:r>
              <w:t>1.8</w:t>
            </w:r>
          </w:p>
        </w:tc>
      </w:tr>
    </w:tbl>
    <w:p>
      <w:r>
        <w:t>Revenue grew each quarter except Q3, which dipped slightly before Q4 became the highest-revenue quarter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