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CodeCommit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Fonts w:ascii="Roboto" w:cs="Roboto" w:eastAsia="Roboto" w:hAnsi="Roboto"/>
                <w:color w:val="1c1d1f"/>
                <w:sz w:val="27"/>
                <w:szCs w:val="27"/>
                <w:rtl w:val="0"/>
              </w:rPr>
              <w:t xml:space="preserve">Service where you can store your code. A similar service is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CodeBuild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Build and testing service in your CICD pipelines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CodeDeploy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Deploys the packaged code onto EC2 and AWS Lambda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CodePipeline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Orchestrates the actions of your CICD pipelines (build stages, manual approvals, many deploys,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CloudFormation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Fonts w:ascii="Roboto" w:cs="Roboto" w:eastAsia="Roboto" w:hAnsi="Roboto"/>
                <w:color w:val="1c1d1f"/>
                <w:sz w:val="27"/>
                <w:szCs w:val="27"/>
                <w:rtl w:val="0"/>
              </w:rPr>
              <w:t xml:space="preserve">Infrastructure as Code for AWS. Declarative way to manage, create and update resources.</w:t>
            </w:r>
          </w:p>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ECS (Elastic Container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Docker container management system on AWS. Helps with creating micro-services.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ECR (Elastic Container Registry)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Docker images repository on AWS. Docker Images can be pushed and pulled.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Step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Orchestrate / Coordinate Lambda functions and ECS containers into a workflow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SWF (Simple Workflow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Old way of orchestrating a big workflow.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EMR (Elastic Map Reduce)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Big Data / Hadoop / Spark clusters on AWS, deployed on EC2 for you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Glue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Fonts w:ascii="Roboto" w:cs="Roboto" w:eastAsia="Roboto" w:hAnsi="Roboto"/>
                <w:color w:val="1c1d1f"/>
                <w:sz w:val="27"/>
                <w:szCs w:val="27"/>
                <w:rtl w:val="0"/>
              </w:rPr>
              <w:t xml:space="preserve">ETL (Extract Transform Load) service on AWS</w:t>
            </w:r>
          </w:p>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OpsWorks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managed Chef &amp; Puppet (configuration automation tools for DEVOPs) on AWS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ElasticTranscoder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Fonts w:ascii="Roboto" w:cs="Roboto" w:eastAsia="Roboto" w:hAnsi="Roboto"/>
                <w:color w:val="1c1d1f"/>
                <w:sz w:val="27"/>
                <w:szCs w:val="27"/>
                <w:rtl w:val="0"/>
              </w:rPr>
              <w:t xml:space="preserve">managed media (video, music) converter service into various optimized formats</w:t>
            </w:r>
          </w:p>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Organizations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hierarchy and centralized management of multiple AWS accounts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Workspaces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Fonts w:ascii="Roboto" w:cs="Roboto" w:eastAsia="Roboto" w:hAnsi="Roboto"/>
                <w:color w:val="1c1d1f"/>
                <w:sz w:val="27"/>
                <w:szCs w:val="27"/>
                <w:rtl w:val="0"/>
              </w:rPr>
              <w:t xml:space="preserve">Virtual Desktop on Demand in the Cloud. Replaces traditional on-premise VDI infrastructure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AppSync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color w:val="1c1d1f"/>
                <w:sz w:val="27"/>
                <w:szCs w:val="27"/>
                <w:rtl w:val="0"/>
              </w:rPr>
              <w:t xml:space="preserve">GraphQL as a service on AWS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Fonts w:ascii="Roboto" w:cs="Roboto" w:eastAsia="Roboto" w:hAnsi="Roboto"/>
                <w:b w:val="1"/>
                <w:color w:val="1c1d1f"/>
                <w:sz w:val="27"/>
                <w:szCs w:val="27"/>
                <w:rtl w:val="0"/>
              </w:rPr>
              <w:t xml:space="preserve">SSO (Single Sign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Fonts w:ascii="Roboto" w:cs="Roboto" w:eastAsia="Roboto" w:hAnsi="Roboto"/>
                <w:color w:val="1c1d1f"/>
                <w:sz w:val="27"/>
                <w:szCs w:val="27"/>
                <w:rtl w:val="0"/>
              </w:rPr>
              <w:t xml:space="preserve">One login managed by AWS to log in to various business SAML 2.0-compatible applications (office 365 etc)</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AWS IAM identity center</w:t>
            </w:r>
            <w:r w:rsidDel="00000000" w:rsidR="00000000" w:rsidRPr="00000000">
              <w:rPr>
                <w:rFonts w:ascii="Roboto" w:cs="Roboto" w:eastAsia="Roboto" w:hAnsi="Roboto"/>
                <w:color w:val="1c1d1f"/>
                <w:sz w:val="27"/>
                <w:szCs w:val="27"/>
                <w:rtl w:val="0"/>
              </w:rPr>
              <w:t xml:space="preserve"> is successor to </w:t>
            </w:r>
            <w:r w:rsidDel="00000000" w:rsidR="00000000" w:rsidRPr="00000000">
              <w:rPr>
                <w:rFonts w:ascii="Roboto" w:cs="Roboto" w:eastAsia="Roboto" w:hAnsi="Roboto"/>
                <w:b w:val="1"/>
                <w:color w:val="1c1d1f"/>
                <w:sz w:val="27"/>
                <w:szCs w:val="27"/>
                <w:rtl w:val="0"/>
              </w:rPr>
              <w:t xml:space="preserve">AWS single sign-on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ind w:left="0" w:right="0" w:firstLine="0"/>
              <w:jc w:val="left"/>
              <w:rPr>
                <w:b w:val="1"/>
              </w:rPr>
            </w:pPr>
            <w:r w:rsidDel="00000000" w:rsidR="00000000" w:rsidRPr="00000000">
              <w:rPr>
                <w:rFonts w:ascii="Roboto" w:cs="Roboto" w:eastAsia="Roboto" w:hAnsi="Roboto"/>
                <w:b w:val="1"/>
                <w:color w:val="1c1d1f"/>
                <w:sz w:val="27"/>
                <w:szCs w:val="27"/>
                <w:rtl w:val="0"/>
              </w:rPr>
              <w:t xml:space="preserve">Trust 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define which principal entities (accounts, users, roles, and federated users) can assume the 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Fonts w:ascii="Roboto" w:cs="Roboto" w:eastAsia="Roboto" w:hAnsi="Roboto"/>
                <w:b w:val="1"/>
                <w:color w:val="1c1d1f"/>
                <w:sz w:val="27"/>
                <w:szCs w:val="27"/>
                <w:rtl w:val="0"/>
              </w:rPr>
              <w:t xml:space="preserve">Access Control List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(ACLs) are service policies that allow you to control which principals in another account can access a resource but not in same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Elastic Beanstalk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Automatically handles capacity provisioning, load balancing </w:t>
            </w:r>
          </w:p>
          <w:p w:rsidR="00000000" w:rsidDel="00000000" w:rsidP="00000000" w:rsidRDefault="00000000" w:rsidRPr="00000000" w14:paraId="00000031">
            <w:pPr>
              <w:rPr>
                <w:b w:val="1"/>
              </w:rPr>
            </w:pPr>
            <w:r w:rsidDel="00000000" w:rsidR="00000000" w:rsidRPr="00000000">
              <w:rPr>
                <w:b w:val="1"/>
                <w:rtl w:val="0"/>
              </w:rPr>
              <w:t xml:space="preserve">,scaling, application health monitoring, instance configuration.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OpsHub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Software to manage your snow family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DataSync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Can sync data between network file system i.e. NFS,SMB,HDFS,S3,EFS,FSx. Does not work with EBS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Amazon MQ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Managed Apache Active MQ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App Runner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Fully managed service to deploy web application and APIs at scale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Lambda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additional code and content in the form of layers. A layer is a ZIP archive that contains libraries, a custom runtime, or other dependencies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A function can use up to 5 layers at a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Lambda@Edge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Global lambda at cloudfront for request filtering and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Burst limit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burst limit represents the target maximum number of concurrent request submissions that API Gateway will fulfil before returning 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Throttling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Throttling is the process of limiting the number of requests you</w:t>
            </w:r>
            <w:r w:rsidDel="00000000" w:rsidR="00000000" w:rsidRPr="00000000">
              <w:rPr>
                <w:rtl w:val="0"/>
              </w:rPr>
              <w:t xml:space="preserve"> </w:t>
            </w:r>
            <w:r w:rsidDel="00000000" w:rsidR="00000000" w:rsidRPr="00000000">
              <w:rPr>
                <w:b w:val="1"/>
                <w:rtl w:val="0"/>
              </w:rPr>
              <w:t xml:space="preserve">can submit to a given operation/API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Cognito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User pool - User authentication full support</w:t>
            </w:r>
          </w:p>
          <w:p w:rsidR="00000000" w:rsidDel="00000000" w:rsidP="00000000" w:rsidRDefault="00000000" w:rsidRPr="00000000" w14:paraId="00000046">
            <w:pPr>
              <w:rPr>
                <w:b w:val="1"/>
              </w:rPr>
            </w:pPr>
            <w:r w:rsidDel="00000000" w:rsidR="00000000" w:rsidRPr="00000000">
              <w:rPr>
                <w:b w:val="1"/>
                <w:rtl w:val="0"/>
              </w:rPr>
              <w:t xml:space="preserve">Identity pool - temporary token to access aws services like OAuth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Cognito 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rtl w:val="0"/>
              </w:rPr>
              <w:t xml:space="preserve">Deprecated use AWS AppSync 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rtl w:val="0"/>
              </w:rPr>
              <w:t xml:space="preserve">Serverless Application Model </w:t>
            </w:r>
          </w:p>
          <w:p w:rsidR="00000000" w:rsidDel="00000000" w:rsidP="00000000" w:rsidRDefault="00000000" w:rsidRPr="00000000" w14:paraId="0000004B">
            <w:pPr>
              <w:rPr>
                <w:b w:val="1"/>
              </w:rPr>
            </w:pPr>
            <w:r w:rsidDel="00000000" w:rsidR="00000000" w:rsidRPr="00000000">
              <w:rPr>
                <w:b w:val="1"/>
                <w:rtl w:val="0"/>
              </w:rPr>
              <w:t xml:space="preserve">Framework for developing and deploying serverless applications. All the configuration is YAML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Unicast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b w:val="1"/>
                <w:rtl w:val="0"/>
              </w:rPr>
              <w:t xml:space="preserve">One server holds one IP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Anycast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All server have same ip address and the client is routed to near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Fargate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rtl w:val="0"/>
              </w:rPr>
              <w:t xml:space="preserve">is a serverless compute engine for containers that work with both Amazon Elastic Container Service (ECS) and Amazon Elastic Kubernetes Service (EKS).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QuickSight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rtl w:val="0"/>
              </w:rPr>
              <w:t xml:space="preserve">Serverless machine learning powered business intelligence service to create interactive 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DocumentDB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b w:val="1"/>
                <w:rtl w:val="0"/>
              </w:rPr>
              <w:t xml:space="preserve">Managed 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Naptune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Fully managed graph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Keyspaces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b w:val="1"/>
                <w:rtl w:val="0"/>
              </w:rPr>
              <w:t xml:space="preserve">Managed Cassandra (distributed no sql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QLDB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b w:val="1"/>
                <w:rtl w:val="0"/>
              </w:rPr>
              <w:t xml:space="preserve">Quantam Ladger DB to manage financial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TimeStream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Fully managed time series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OpenSearch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rPr>
            </w:pPr>
            <w:r w:rsidDel="00000000" w:rsidR="00000000" w:rsidRPr="00000000">
              <w:rPr>
                <w:b w:val="1"/>
                <w:rtl w:val="0"/>
              </w:rPr>
              <w:t xml:space="preserve">Successor to elastic search you can search field or partial match as well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Lake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b w:val="1"/>
                <w:rtl w:val="0"/>
              </w:rPr>
              <w:t xml:space="preserve">Fully managed service to create data lake(unstructured and semistructured data ) in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MSK(Managed Streaming of Kafka)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Fully managed apache kafka on 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Helps record configuration changes of resource. Also with auditing and recording of compliances of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System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b w:val="1"/>
                <w:rtl w:val="0"/>
              </w:rPr>
              <w:t xml:space="preserve">AWS Systems Manager, you can group resources, like Amazon EC2 instances, Amazon S3 buckets, or Amazon RDS instances, by application ALSO configure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STS (Security token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b w:val="1"/>
                <w:rtl w:val="0"/>
              </w:rPr>
              <w:t xml:space="preserve">Allows to grant limited and temporary access to aws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Identity Federation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Allows outside user to temporary assume role and access AWS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SAML 2.0 Federation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To provide access to AWS resource no need to create IAM users just integrate with active directory/ADFS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Custom identity broker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b w:val="1"/>
                <w:rtl w:val="0"/>
              </w:rPr>
              <w:t xml:space="preserve">Use only when identity provider is not compatible with SAML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Web identity Federation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b w:val="1"/>
                <w:rtl w:val="0"/>
              </w:rPr>
              <w:t xml:space="preserve">Not recommande by AWS use cognito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AWS Managed Microsoft Active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1"/>
              </w:rPr>
            </w:pPr>
            <w:r w:rsidDel="00000000" w:rsidR="00000000" w:rsidRPr="00000000">
              <w:rPr>
                <w:b w:val="1"/>
                <w:rtl w:val="0"/>
              </w:rPr>
              <w:t xml:space="preserve">Create your own AD in AWS which can support Microsoft related application very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AD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b w:val="1"/>
                <w:rtl w:val="0"/>
              </w:rPr>
              <w:t xml:space="preserve">Directory gateway (proxy) to redirect to on-premises AD but doesn’t support more features. Just a connector.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Simple 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AD compatible managed directory on AWS, can not be joined with on premises 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Organizations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Allow to manage multiple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SCP (service control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b w:val="1"/>
              </w:rPr>
            </w:pPr>
            <w:r w:rsidDel="00000000" w:rsidR="00000000" w:rsidRPr="00000000">
              <w:rPr>
                <w:b w:val="1"/>
                <w:rtl w:val="0"/>
              </w:rPr>
              <w:t xml:space="preserve">Applied at OU or account level, guardrail what action can be performed by account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SSM (System manager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Secure storage for configuration and secret,by default no encryption but can be enabled. No rotation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Secret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b w:val="1"/>
              </w:rPr>
            </w:pPr>
            <w:r w:rsidDel="00000000" w:rsidR="00000000" w:rsidRPr="00000000">
              <w:rPr>
                <w:b w:val="1"/>
                <w:rtl w:val="0"/>
              </w:rPr>
              <w:t xml:space="preserve">Used for only credential , Rotation policy, Default encryption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Certificate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Easily provision, manage and deploy TLS certificates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Shield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b w:val="1"/>
              </w:rPr>
            </w:pPr>
            <w:r w:rsidDel="00000000" w:rsidR="00000000" w:rsidRPr="00000000">
              <w:rPr>
                <w:b w:val="1"/>
                <w:rtl w:val="0"/>
              </w:rPr>
              <w:t xml:space="preserve">Protect from DDOS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CloudHSM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b w:val="1"/>
                <w:rtl w:val="0"/>
              </w:rPr>
              <w:t xml:space="preserve">Dedicated hardware to store and manage encryption keys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WAF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Safe guard your network by WACL can be deployed on API gateway, Cognito , ALB, AppSync, cloud front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Firewall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rtl w:val="0"/>
              </w:rPr>
              <w:t xml:space="preserve">Manage rule in all accounts of an organizations. centrally configure AWS WAF rules, AWS Shield Advanced protection, Amazon Virtual Private Cloud (VPC) security groups, AWS Network Firewalls, and Amazon Route 53 Resolver DNS Firewall rules across accounts and resources in your organization</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CloudTrail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An history of events/API calls made within your AWS account. Provide governance,compliance and audit for your AWS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VPC flow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Capture information about IP traffic going into your VPC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b w:val="1"/>
              </w:rPr>
            </w:pPr>
            <w:r w:rsidDel="00000000" w:rsidR="00000000" w:rsidRPr="00000000">
              <w:rPr>
                <w:b w:val="1"/>
                <w:rtl w:val="0"/>
              </w:rPr>
              <w:t xml:space="preserve">Performance monitoring (metrics,CPU,Network etc) &amp; dashboards, events &amp; alerting,log aggregation &amp;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GuardDuty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Intelligent threat discovery by observing cloudtrail log, VPC flow log, DNS log,S3 data events, cloudtrail events, kubernetes audit logs, Can protect cryptocurrency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Inspector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Automated security assessment for EC2 and container infrastructure.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Artifact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AWS Artifact to view the security reports as well as other AWS compliance-related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Macie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Protect your sensitive / PII data in 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X-Ray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helps developers analyse and debug production, distributed applications, such as those built using a microservices architecture.</w:t>
            </w:r>
          </w:p>
          <w:p w:rsidR="00000000" w:rsidDel="00000000" w:rsidP="00000000" w:rsidRDefault="00000000" w:rsidRPr="00000000" w14:paraId="0000009C">
            <w:pPr>
              <w:rPr>
                <w:b w:val="1"/>
              </w:rPr>
            </w:pPr>
            <w:r w:rsidDel="00000000" w:rsidR="00000000" w:rsidRPr="00000000">
              <w:rPr>
                <w:b w:val="1"/>
                <w:rtl w:val="0"/>
              </w:rPr>
              <w:t xml:space="preserve">X-Ray provides an end-to-end view of requests as they travel through your application, and shows a map of your application’s underlying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Bastion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b w:val="1"/>
              </w:rPr>
            </w:pPr>
            <w:r w:rsidDel="00000000" w:rsidR="00000000" w:rsidRPr="00000000">
              <w:rPr>
                <w:b w:val="1"/>
                <w:rtl w:val="0"/>
              </w:rPr>
              <w:t xml:space="preserve">To SSH into our private EC2 instances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NAT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b w:val="1"/>
                <w:rtl w:val="0"/>
              </w:rPr>
              <w:t xml:space="preserve">For one way internet access to private EC2 instances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NAT Gateway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b w:val="1"/>
              </w:rPr>
            </w:pPr>
            <w:r w:rsidDel="00000000" w:rsidR="00000000" w:rsidRPr="00000000">
              <w:rPr>
                <w:b w:val="1"/>
                <w:rtl w:val="0"/>
              </w:rPr>
              <w:t xml:space="preserve">Fully managed , 2 way internet access to private Ec2 instances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Reachability Analyzer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b w:val="1"/>
              </w:rPr>
            </w:pPr>
            <w:r w:rsidDel="00000000" w:rsidR="00000000" w:rsidRPr="00000000">
              <w:rPr>
                <w:b w:val="1"/>
                <w:rtl w:val="0"/>
              </w:rPr>
              <w:t xml:space="preserve">Network diagnostic tool that troubleshoot network connectivity.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VPC peering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b w:val="1"/>
              </w:rPr>
            </w:pPr>
            <w:r w:rsidDel="00000000" w:rsidR="00000000" w:rsidRPr="00000000">
              <w:rPr>
                <w:b w:val="1"/>
                <w:rtl w:val="0"/>
              </w:rPr>
              <w:t xml:space="preserve">Privately connect two VPCs using AWS network, make them behave as if they were in the same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VPC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b w:val="1"/>
              </w:rPr>
            </w:pPr>
            <w:r w:rsidDel="00000000" w:rsidR="00000000" w:rsidRPr="00000000">
              <w:rPr>
                <w:b w:val="1"/>
                <w:rtl w:val="0"/>
              </w:rPr>
              <w:t xml:space="preserve">account that owns the VPC (owner) shares one or more subnets with other accounts (participants) that belong to the same organization from AWS Organizations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VPC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Powered by AWS private link allows you to connect to AWS services using private network instead of using the public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Gateway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Gateway endpoints provide reliable connectivity to Amazon S3 /DynamoDB without requiring an internet gateway or a NAT device for your VPC, Free , set as target in route table, Region specific do not support inter-region communication. Preferred exam choice</w:t>
            </w:r>
          </w:p>
          <w:p w:rsidR="00000000" w:rsidDel="00000000" w:rsidP="00000000" w:rsidRDefault="00000000" w:rsidRPr="00000000" w14:paraId="000000A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Interface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Used as entry endpoint, support most service but not DynamoDB, $ per hour, use </w:t>
            </w:r>
            <w:r w:rsidDel="00000000" w:rsidR="00000000" w:rsidRPr="00000000">
              <w:rPr>
                <w:rtl w:val="0"/>
              </w:rPr>
              <w:t xml:space="preserve">When access required from onprimise or site to site VPN or direct connect or different region or different VPC</w:t>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Transit VPC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b w:val="1"/>
              </w:rPr>
            </w:pPr>
            <w:r w:rsidDel="00000000" w:rsidR="00000000" w:rsidRPr="00000000">
              <w:rPr>
                <w:b w:val="1"/>
                <w:rtl w:val="0"/>
              </w:rPr>
              <w:t xml:space="preserve">An intermediate VPC used to connect VPCs with On premise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Site to site 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b w:val="1"/>
              </w:rPr>
            </w:pPr>
            <w:r w:rsidDel="00000000" w:rsidR="00000000" w:rsidRPr="00000000">
              <w:rPr>
                <w:b w:val="1"/>
                <w:rtl w:val="0"/>
              </w:rPr>
              <w:t xml:space="preserve">Virtual private gateway at AWS side and Customer Gateway at onpremise.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VPN CloudHub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rPr>
            </w:pPr>
            <w:r w:rsidDel="00000000" w:rsidR="00000000" w:rsidRPr="00000000">
              <w:rPr>
                <w:b w:val="1"/>
                <w:rtl w:val="0"/>
              </w:rPr>
              <w:t xml:space="preserve">if you have multiple AWS Site-to-Site VPN connections, you can provide secure communication between sites using the AWS VPN CloudHub.</w:t>
            </w:r>
            <w:r w:rsidDel="00000000" w:rsidR="00000000" w:rsidRPr="00000000">
              <w:rPr>
                <w:rtl w:val="0"/>
              </w:rPr>
              <w:t xml:space="preserve">This enables your remote sites to communicate with each other, and not just with the VPC.</w:t>
            </w:r>
            <w:r w:rsidDel="00000000" w:rsidR="00000000" w:rsidRPr="00000000">
              <w:rPr>
                <w:b w:val="1"/>
                <w:rtl w:val="0"/>
              </w:rPr>
              <w:t xml:space="preserve">VPN CloudHub uses virtual private gateway.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EC2 classic &amp; Classic link </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(Deprecated)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Ec2 classic: instance run in a single network shared with other customers. </w:t>
            </w:r>
          </w:p>
          <w:p w:rsidR="00000000" w:rsidDel="00000000" w:rsidP="00000000" w:rsidRDefault="00000000" w:rsidRPr="00000000" w14:paraId="000000BB">
            <w:pPr>
              <w:rPr>
                <w:b w:val="1"/>
              </w:rPr>
            </w:pPr>
            <w:r w:rsidDel="00000000" w:rsidR="00000000" w:rsidRPr="00000000">
              <w:rPr>
                <w:b w:val="1"/>
                <w:rtl w:val="0"/>
              </w:rPr>
              <w:t xml:space="preserve">Classic link: allows you to link EC2-Classis instances to a VPC in your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Transit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b w:val="1"/>
              </w:rPr>
            </w:pPr>
            <w:r w:rsidDel="00000000" w:rsidR="00000000" w:rsidRPr="00000000">
              <w:rPr>
                <w:b w:val="1"/>
                <w:rtl w:val="0"/>
              </w:rPr>
              <w:t xml:space="preserve">Transitive peering between thousands of VPC and on premise, hub and spoke (star) connections, share cross region and cross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Resource Access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rPr>
            </w:pPr>
            <w:r w:rsidDel="00000000" w:rsidR="00000000" w:rsidRPr="00000000">
              <w:rPr>
                <w:b w:val="1"/>
                <w:rtl w:val="0"/>
              </w:rPr>
              <w:t xml:space="preserve">Share resources that you own with other AWS accounts.Participants can’t view, modify, delete resources that belong to other participants but they can access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Traffic mirroring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VPC feature that you can use to copy network traffic from an elastic network interface. Traffic mirror filters can't inspect the actual packet of the incoming and outgoing traffic. </w:t>
            </w:r>
            <w:r w:rsidDel="00000000" w:rsidR="00000000" w:rsidRPr="00000000">
              <w:rPr>
                <w:rtl w:val="0"/>
              </w:rPr>
              <w:t xml:space="preserve">It would make more sense if you redirect the traffic to an EC2 instance where an Intrusion Detection System (IDS) is running</w:t>
            </w:r>
          </w:p>
          <w:p w:rsidR="00000000" w:rsidDel="00000000" w:rsidP="00000000" w:rsidRDefault="00000000" w:rsidRPr="00000000" w14:paraId="000000C2">
            <w:pPr>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Egress only IGW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Used only for IP6 similar to NAT instance but for IP6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Network 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Protect entire VPC, layer 3 to layer 7 protection, any direction you can inspect inbound / outbound.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Network access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rPr>
            </w:pPr>
            <w:r w:rsidDel="00000000" w:rsidR="00000000" w:rsidRPr="00000000">
              <w:rPr>
                <w:b w:val="1"/>
                <w:rtl w:val="0"/>
              </w:rPr>
              <w:t xml:space="preserve">Feature of VPC that reports on unintended access to your AWS resources based on the security and compliance that you set. Not able to perform deep packet inspection on traffic leaving or entering VPC.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Detective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rPr>
            </w:pPr>
            <w:r w:rsidDel="00000000" w:rsidR="00000000" w:rsidRPr="00000000">
              <w:rPr>
                <w:b w:val="1"/>
                <w:rtl w:val="0"/>
              </w:rPr>
              <w:t xml:space="preserve">This service just automatically collects log data from your AWS resources to analyze, investigate, and quickly identify the root cause of potential security issues or suspicious activities in your AWS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DR - Pilot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rtl w:val="0"/>
              </w:rPr>
              <w:t xml:space="preserve">Small version of app is always running, useful for critical core.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DR - Warm Standby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b w:val="1"/>
                <w:rtl w:val="0"/>
              </w:rPr>
              <w:t xml:space="preserve">Full system is up and running but at minimum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DR - Multi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rPr>
            </w:pPr>
            <w:r w:rsidDel="00000000" w:rsidR="00000000" w:rsidRPr="00000000">
              <w:rPr>
                <w:b w:val="1"/>
                <w:rtl w:val="0"/>
              </w:rPr>
              <w:t xml:space="preserve">Full production scale is running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Schema Conversion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rPr>
            </w:pPr>
            <w:r w:rsidDel="00000000" w:rsidR="00000000" w:rsidRPr="00000000">
              <w:rPr>
                <w:b w:val="1"/>
                <w:rtl w:val="0"/>
              </w:rPr>
              <w:t xml:space="preserve">move your stored procedures and secondary database objects), you must use the AWS Schema Conversion Tool.</w:t>
            </w:r>
          </w:p>
          <w:p w:rsidR="00000000" w:rsidDel="00000000" w:rsidP="00000000" w:rsidRDefault="00000000" w:rsidRPr="00000000" w14:paraId="000000D3">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Basic Schema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rPr>
            </w:pPr>
            <w:r w:rsidDel="00000000" w:rsidR="00000000" w:rsidRPr="00000000">
              <w:rPr>
                <w:b w:val="1"/>
                <w:rtl w:val="0"/>
              </w:rPr>
              <w:t xml:space="preserve">Basic Schema Copy will automatically create tables and primary keys in the target instance if the target does not already contain tables with the same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Application Discovery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rPr>
            </w:pPr>
            <w:r w:rsidDel="00000000" w:rsidR="00000000" w:rsidRPr="00000000">
              <w:rPr>
                <w:b w:val="1"/>
                <w:rtl w:val="0"/>
              </w:rPr>
              <w:t xml:space="preserve">Plan migration projects by gathering information about on premises data centers. Server utilization data and dependency 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Application Migration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Lift and shift solution converts your physical virtual and cloud based servers to run natively on AWS using replication agent.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Centrally manage and automate backup across AWS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Rekognition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b w:val="1"/>
              </w:rPr>
            </w:pPr>
            <w:r w:rsidDel="00000000" w:rsidR="00000000" w:rsidRPr="00000000">
              <w:rPr>
                <w:b w:val="1"/>
                <w:rtl w:val="0"/>
              </w:rPr>
              <w:t xml:space="preserve">Face detection , labeling , celebrity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Transcribe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rPr>
            </w:pPr>
            <w:r w:rsidDel="00000000" w:rsidR="00000000" w:rsidRPr="00000000">
              <w:rPr>
                <w:b w:val="1"/>
                <w:rtl w:val="0"/>
              </w:rPr>
              <w:t xml:space="preserve">Audio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Polly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rPr>
            </w:pPr>
            <w:r w:rsidDel="00000000" w:rsidR="00000000" w:rsidRPr="00000000">
              <w:rPr>
                <w:b w:val="1"/>
                <w:rtl w:val="0"/>
              </w:rPr>
              <w:t xml:space="preserve">Text to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rPr>
            </w:pPr>
            <w:r w:rsidDel="00000000" w:rsidR="00000000" w:rsidRPr="00000000">
              <w:rPr>
                <w:b w:val="1"/>
                <w:rtl w:val="0"/>
              </w:rPr>
              <w:t xml:space="preserve">Build conversational bots -chat bots, Alexa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rPr>
            </w:pPr>
            <w:r w:rsidDel="00000000" w:rsidR="00000000" w:rsidRPr="00000000">
              <w:rPr>
                <w:b w:val="1"/>
                <w:rtl w:val="0"/>
              </w:rPr>
              <w:t xml:space="preserve">Cloud contact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Comprehend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rPr>
            </w:pPr>
            <w:r w:rsidDel="00000000" w:rsidR="00000000" w:rsidRPr="00000000">
              <w:rPr>
                <w:b w:val="1"/>
                <w:rtl w:val="0"/>
              </w:rPr>
              <w:t xml:space="preserve">Natural language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Comprehend Medical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b w:val="1"/>
              </w:rPr>
            </w:pPr>
            <w:r w:rsidDel="00000000" w:rsidR="00000000" w:rsidRPr="00000000">
              <w:rPr>
                <w:b w:val="1"/>
                <w:rtl w:val="0"/>
              </w:rPr>
              <w:t xml:space="preserve">Detect health info on prescription, notes and reports.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Sage 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b w:val="1"/>
              </w:rPr>
            </w:pPr>
            <w:r w:rsidDel="00000000" w:rsidR="00000000" w:rsidRPr="00000000">
              <w:rPr>
                <w:b w:val="1"/>
                <w:rtl w:val="0"/>
              </w:rPr>
              <w:t xml:space="preserve">Machine learning for every developer and data scientist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b w:val="1"/>
              </w:rPr>
            </w:pPr>
            <w:r w:rsidDel="00000000" w:rsidR="00000000" w:rsidRPr="00000000">
              <w:rPr>
                <w:b w:val="1"/>
                <w:rtl w:val="0"/>
              </w:rPr>
              <w:t xml:space="preserve">Build highly accurate forecasts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Kendra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b w:val="1"/>
              </w:rPr>
            </w:pPr>
            <w:r w:rsidDel="00000000" w:rsidR="00000000" w:rsidRPr="00000000">
              <w:rPr>
                <w:b w:val="1"/>
                <w:rtl w:val="0"/>
              </w:rPr>
              <w:t xml:space="preserve">Search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Personalize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b w:val="1"/>
              </w:rPr>
            </w:pPr>
            <w:r w:rsidDel="00000000" w:rsidR="00000000" w:rsidRPr="00000000">
              <w:rPr>
                <w:b w:val="1"/>
                <w:rtl w:val="0"/>
              </w:rPr>
              <w:t xml:space="preserve">Realtime personalization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Textract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b w:val="1"/>
              </w:rPr>
            </w:pPr>
            <w:r w:rsidDel="00000000" w:rsidR="00000000" w:rsidRPr="00000000">
              <w:rPr>
                <w:b w:val="1"/>
                <w:rtl w:val="0"/>
              </w:rPr>
              <w:t xml:space="preserve">Detect text and data in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Cloud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Declarative way of outlining your AWS infrastructure for any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Step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b w:val="1"/>
                <w:rtl w:val="0"/>
              </w:rPr>
              <w:t xml:space="preserve">AWS Step Functions lets you coordinate and orchestrate multiple AWS services such as AWS Lambda and AWS Glue into serverless workflows.</w:t>
            </w:r>
            <w:r w:rsidDel="00000000" w:rsidR="00000000" w:rsidRPr="00000000">
              <w:rPr>
                <w:rtl w:val="0"/>
              </w:rPr>
              <w:t xml:space="preserve">A Step Function automatically triggers and tracks each step, and retries when there are errors, so your application executes in order and as expected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SWF(Simple Workflow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b w:val="1"/>
                <w:rtl w:val="0"/>
              </w:rPr>
              <w:t xml:space="preserve">Same as step function and AWS recommend using step function instead SWF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Cost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b w:val="1"/>
              </w:rPr>
            </w:pPr>
            <w:r w:rsidDel="00000000" w:rsidR="00000000" w:rsidRPr="00000000">
              <w:rPr>
                <w:b w:val="1"/>
                <w:rtl w:val="0"/>
              </w:rPr>
              <w:t xml:space="preserve">Visualise understand and manage your AWS cost and usage over time, Forecast usage upto 12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SES(simple email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b w:val="1"/>
              </w:rPr>
            </w:pPr>
            <w:r w:rsidDel="00000000" w:rsidR="00000000" w:rsidRPr="00000000">
              <w:rPr>
                <w:b w:val="1"/>
                <w:rtl w:val="0"/>
              </w:rPr>
              <w:t xml:space="preserve">Fully managed service to send emails securely, globally and at scale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Pinpoint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b w:val="1"/>
              </w:rPr>
            </w:pPr>
            <w:r w:rsidDel="00000000" w:rsidR="00000000" w:rsidRPr="00000000">
              <w:rPr>
                <w:b w:val="1"/>
                <w:rtl w:val="0"/>
              </w:rPr>
              <w:t xml:space="preserve">Ability to segment and personalize messages with right content to customer by email, SMS, push, voice and in app messaging, possibly to receive replies.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SSM session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b w:val="1"/>
              </w:rPr>
            </w:pPr>
            <w:r w:rsidDel="00000000" w:rsidR="00000000" w:rsidRPr="00000000">
              <w:rPr>
                <w:b w:val="1"/>
                <w:rtl w:val="0"/>
              </w:rPr>
              <w:t xml:space="preserve">Allows you to start a secure shell on your EC2 and on premises servers. No SSH access. Bastion hosts or SSH key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Elastic Transcoder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b w:val="1"/>
              </w:rPr>
            </w:pPr>
            <w:r w:rsidDel="00000000" w:rsidR="00000000" w:rsidRPr="00000000">
              <w:rPr>
                <w:b w:val="1"/>
                <w:rtl w:val="0"/>
              </w:rPr>
              <w:t xml:space="preserve">Convert media files stored in s3 into media files in the formats required by consumer playback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Fully managed batch processing at any scale, efficiently run 100K of computing batch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AppFlow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Fully managed integration service that enables you to securely transfer data between Software as a service applications and AWS. Sources : Salesforce,SAP,Zendesk,Slack and Service now</w:t>
            </w:r>
          </w:p>
          <w:p w:rsidR="00000000" w:rsidDel="00000000" w:rsidP="00000000" w:rsidRDefault="00000000" w:rsidRPr="00000000" w14:paraId="00000108">
            <w:pPr>
              <w:rPr>
                <w:b w:val="1"/>
              </w:rPr>
            </w:pPr>
            <w:r w:rsidDel="00000000" w:rsidR="00000000" w:rsidRPr="00000000">
              <w:rPr>
                <w:b w:val="1"/>
                <w:rtl w:val="0"/>
              </w:rPr>
              <w:t xml:space="preserve">Destination: AWS services like S3,Redshift or non AWS such snowflake and salesforce.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Health or Personal 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b w:val="1"/>
              </w:rPr>
            </w:pPr>
            <w:r w:rsidDel="00000000" w:rsidR="00000000" w:rsidRPr="00000000">
              <w:rPr>
                <w:b w:val="1"/>
                <w:rtl w:val="0"/>
              </w:rPr>
              <w:t xml:space="preserve">provides ongoing visibility into your resource performance and the availability of your AWS services and accounts</w:t>
            </w:r>
            <w:r w:rsidDel="00000000" w:rsidR="00000000" w:rsidRPr="00000000">
              <w:rPr>
                <w:rtl w:val="0"/>
              </w:rPr>
              <w:t xml:space="preserve">.how service and resource changes might affect your applications running on AWS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Service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b w:val="1"/>
              </w:rPr>
            </w:pPr>
            <w:r w:rsidDel="00000000" w:rsidR="00000000" w:rsidRPr="00000000">
              <w:rPr>
                <w:b w:val="1"/>
                <w:rtl w:val="0"/>
              </w:rPr>
              <w:t xml:space="preserve">AWS Service Health Dashboard shows public events that may affect several customers in particular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Wavelength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b w:val="1"/>
              </w:rPr>
            </w:pPr>
            <w:r w:rsidDel="00000000" w:rsidR="00000000" w:rsidRPr="00000000">
              <w:rPr>
                <w:b w:val="1"/>
                <w:rtl w:val="0"/>
              </w:rPr>
              <w:t xml:space="preserve">combines the high bandwidth and ultralow latency of 5G networks with AWS compute and storage services so that developers can innovate and build a new class of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Trusted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b w:val="1"/>
              </w:rPr>
            </w:pPr>
            <w:r w:rsidDel="00000000" w:rsidR="00000000" w:rsidRPr="00000000">
              <w:rPr>
                <w:b w:val="1"/>
                <w:rtl w:val="0"/>
              </w:rPr>
              <w:t xml:space="preserve">Hight level AWS account assessment, analyze your aws account and provide recommendation on cost optimization,performance, security, fault tolerance, service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Route53 Traffic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b w:val="1"/>
              </w:rPr>
            </w:pPr>
            <w:r w:rsidDel="00000000" w:rsidR="00000000" w:rsidRPr="00000000">
              <w:rPr>
                <w:b w:val="1"/>
                <w:rtl w:val="0"/>
              </w:rPr>
              <w:t xml:space="preserve">Visual editor to manage complex routing decision trees, simplify the process of creating and maintaining records in large and complex configurations.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b w:val="1"/>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