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b/>
          <w:bCs/>
          <w:color w:val="1B2A4A"/>
          <w:sz w:val="56"/>
          <w:szCs w:val="56"/>
        </w:rPr>
        <w:t xml:space="preserve">INSIGHT FORGE</w:t>
      </w:r>
    </w:p>
    <w:p>
      <w:pPr>
        <w:spacing w:after="300"/>
        <w:jc w:val="center"/>
      </w:pPr>
      <w:r>
        <w:rPr>
          <w:color w:val="3B5BDB"/>
          <w:sz w:val="32"/>
          <w:szCs w:val="32"/>
        </w:rPr>
        <w:t xml:space="preserve">Data Lake Ingestion &amp; Analysis Pipeline</w:t>
      </w:r>
    </w:p>
    <w:p>
      <w:pPr>
        <w:spacing w:after="60"/>
        <w:jc w:val="center"/>
      </w:pPr>
      <w:r>
        <w:rPr>
          <w:sz w:val="24"/>
          <w:szCs w:val="24"/>
        </w:rPr>
        <w:t xml:space="preserve">Data Architect &amp; Ingestion Engineer — Project Report</w:t>
      </w:r>
    </w:p>
    <w:p>
      <w:pPr>
        <w:spacing w:after="600"/>
        <w:jc w:val="center"/>
      </w:pPr>
      <w:r>
        <w:rPr>
          <w:color w:val="555555"/>
          <w:sz w:val="22"/>
          <w:szCs w:val="22"/>
        </w:rPr>
        <w:t xml:space="preserve">Team: Data Dragons  |  MVP Version 1.0.0</w:t>
      </w:r>
    </w:p>
    <w:p>
      <w:pPr>
        <w:jc w:val="center"/>
      </w:pPr>
      <w:r>
        <w:rPr>
          <w:i/>
          <w:iCs/>
          <w:sz w:val="20"/>
          <w:szCs w:val="20"/>
        </w:rPr>
        <w:t xml:space="preserve">Covers: Data Ingestion · Data Quality Assessment · Data Cleaning · Descriptive Statistics · Univariate Analysis · Bivariate Analysis</w:t>
      </w:r>
    </w:p>
    <w:p>
      <w:r>
        <w:br w:type="page"/>
      </w:r>
    </w:p>
    <w:p>
      <w:pPr>
        <w:pStyle w:val="Heading1"/>
        <w:spacing w:after="150" w:before="300"/>
      </w:pPr>
      <w:r>
        <w:t xml:space="preserve">1. Project Overview</w:t>
      </w:r>
    </w:p>
    <w:p>
      <w:pPr>
        <w:spacing w:after="120"/>
      </w:pPr>
      <w:r>
        <w:t xml:space="preserve">This report documents the design, implementation, and validation of the Insight Forge data lake ingestion pipeline. The system scrapes external sector market-intelligence indicators, lands them in a multi-tenant AWS S3 raw zone, validates and sanitizes them through an Airflow-orchestrated PySpark job, and produces analytics-ready data. Because the target environment (live AWS infrastructure, an Airflow scheduler, and a Spark cluster) is not available in this workspace, the pipeline logic was implemented as production-ready source files (Terraform, Scrapy, Pydantic, Airflow, PySpark) and validated locally end-to-end against a synthetic dataset engineered to contain the same defects real scraped data exhibits: missing fields, duplicate rows, out-of-range values, mixed timestamp formats, and statistical outliers.</w:t>
      </w:r>
    </w:p>
    <w:p>
      <w:pPr>
        <w:pStyle w:val="Heading2"/>
        <w:spacing w:after="120" w:before="240"/>
      </w:pPr>
      <w:r>
        <w:t xml:space="preserve">Architecture Components Delivered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/infra/s3_buckets.tf — Multi-tenant AWS S3 data lake — KMS encryption, public-access block, 30-day lifecycle, tenant-isolation bucket policy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/scraper/market_intelligence_spider.py — Scrapy spider that gathers sector indicators, fully decoupled from OLTP systems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/scraper/validation_schema.py — Pydantic structural integrity matrix; routes sub-70%-complete rows to a dead-letter archive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/dags/ingestion_processing_dag.py — Airflow DAG — S3 landing sensor, tenant-isolation guard, Spark submit, run-metric logging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/spark/scripts/clean_and_score.py — PySpark job — ISO 8601 normalization, KNN imputation, IsolationForest outlier flagging, SHA-256 PII hashing</w:t>
      </w:r>
    </w:p>
    <w:p>
      <w:pPr>
        <w:pStyle w:val="Heading1"/>
        <w:spacing w:after="150" w:before="300"/>
      </w:pPr>
      <w:r>
        <w:t xml:space="preserve">2. Data Ingestion</w:t>
      </w:r>
    </w:p>
    <w:p>
      <w:pPr>
        <w:spacing w:after="120"/>
      </w:pPr>
      <w:r>
        <w:t xml:space="preserve">A synthetic raw landing batch was generated to represent what market_intelligence_spider.py would deliver to the S3 raw prefix. The batch contains 1225 rows spanning 4 tenants and 3 distinct source feeds, deliberately seeded with missing values, duplicates, out-of-range metrics, and four different real-world timestamp formats to stress-test the downstream pipeline.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2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Ingestion Metric</w:t>
            </w:r>
          </w:p>
        </w:tc>
        <w:tc>
          <w:tcPr>
            <w:tcW w:type="pct" w:w="50%"/>
            <w:shd w:fill="1B2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Rows landed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1225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Distinct tenants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Distinct source feeds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Landing path pattern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s3://insightforge-data-lake-prod/tenants/&lt;tenant_uuid&gt;/raw/</w:t>
            </w:r>
          </w:p>
        </w:tc>
      </w:tr>
    </w:tbl>
    <w:p>
      <w:pPr>
        <w:pStyle w:val="Heading1"/>
        <w:spacing w:after="150" w:before="300"/>
      </w:pPr>
      <w:r>
        <w:t xml:space="preserve">3. Data Quality Assessment</w:t>
      </w:r>
    </w:p>
    <w:p>
      <w:pPr>
        <w:spacing w:after="120"/>
      </w:pPr>
      <w:r>
        <w:t xml:space="preserve">Every row was scored against the five required structural fields using the same completeness-scoring function used by the Pydantic validation barrier. Rows scoring below 70% completeness are routed to the dead-letter archive rather than dropped.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2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Quality Metric</w:t>
            </w:r>
          </w:p>
        </w:tc>
        <w:tc>
          <w:tcPr>
            <w:tcW w:type="pct" w:w="50%"/>
            <w:shd w:fill="1B2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Total rows assessed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1225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Rows sent to dead-letter (&lt;70% complete)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Rows with out-of-range metric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114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Duplicate rows detected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49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Overall corruption ratio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8%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1 — Missingness by field in the raw landing batch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2 — Structural validation outcome (valid vs. dead-letter)</w:t>
      </w:r>
    </w:p>
    <w:p>
      <w:pPr>
        <w:pStyle w:val="Heading1"/>
        <w:spacing w:after="150" w:before="300"/>
      </w:pPr>
      <w:r>
        <w:t xml:space="preserve">4. Data Cleaning</w:t>
      </w:r>
    </w:p>
    <w:p>
      <w:pPr>
        <w:spacing w:after="120"/>
      </w:pPr>
      <w:r>
        <w:t xml:space="preserve">Cleaning mirrors the logic in clean_and_score.py: duplicate and dead-letter rows are removed, temporal_stamp is normalized to ISO 8601 across all four source formats, missing indicator_metric values are imputed with a K-Nearest-Neighbors imputer, statistical outliers are flagged (not dropped) with an IsolationForest, and PII fields are hashed with SHA-256 before the data is considered analytics-ready.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2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Cleaning Step</w:t>
            </w:r>
          </w:p>
        </w:tc>
        <w:tc>
          <w:tcPr>
            <w:tcW w:type="pct" w:w="50%"/>
            <w:shd w:fill="1B2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Rows after validation + de-dup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1176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Rows dropped — unparseable timestamp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Rows KNN-imputed (missing metric)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36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Rows flagged as statistical outliers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57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Rows out-of-range after cleaning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Final analytics-ready row count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1140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PII fields hashed (SHA-256)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scraper_operator_email, submitted_by_ip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3 — Row count surviving each cleaning stage</w:t>
      </w:r>
    </w:p>
    <w:p>
      <w:pPr>
        <w:pStyle w:val="Heading1"/>
        <w:spacing w:after="150" w:before="300"/>
      </w:pPr>
      <w:r>
        <w:t xml:space="preserve">5. Descriptive Statistics</w:t>
      </w:r>
    </w:p>
    <w:p>
      <w:pPr>
        <w:spacing w:after="120"/>
      </w:pPr>
      <w:r>
        <w:t xml:space="preserve">Summary statistics for the primary numeric field, indicator_metric, computed on the final cleaned dataset: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2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Statistic</w:t>
            </w:r>
          </w:p>
        </w:tc>
        <w:tc>
          <w:tcPr>
            <w:tcW w:type="pct" w:w="50%"/>
            <w:shd w:fill="1B2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Count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1140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Mean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0.5689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Std. Deviation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0.2824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Min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-2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25th Percentile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0.4575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Median (50%)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0.5627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75th Percentile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0.6559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Max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3.1</w:t>
            </w:r>
          </w:p>
        </w:tc>
      </w:tr>
    </w:tbl>
    <w:p>
      <w:pPr>
        <w:pStyle w:val="Heading2"/>
        <w:spacing w:after="120" w:before="240"/>
      </w:pPr>
      <w:r>
        <w:t xml:space="preserve">Record Distribution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2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pct" w:w="50%"/>
            <w:shd w:fill="1B2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Row Count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EdTech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203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Retail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196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Fintech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191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Automotive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187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Healthcare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183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FMCG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180</w:t>
            </w:r>
          </w:p>
        </w:tc>
      </w:tr>
    </w:tbl>
    <w:p>
      <w:pPr>
        <w:pStyle w:val="Heading1"/>
        <w:spacing w:after="150" w:before="300"/>
      </w:pPr>
      <w:r>
        <w:t xml:space="preserve">6. Univariate Analysis</w:t>
      </w:r>
    </w:p>
    <w:p>
      <w:pPr>
        <w:spacing w:after="120"/>
      </w:pPr>
      <w:r>
        <w:t xml:space="preserve">Univariate analysis examines each variable independently. The indicator_metric distribution is approximately unimodal with a small number of extreme values retained (and flagged) rather than silently discarded, consistent with the TRD Section 9.2 requirement to surface outliers out-of-band.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4 — Indicator metric distribution (left) and record count by sector (right)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171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5 — Spread and outlier boundary of indicator_metric</w:t>
      </w:r>
    </w:p>
    <w:p>
      <w:pPr>
        <w:pStyle w:val="Heading1"/>
        <w:spacing w:after="150" w:before="300"/>
      </w:pPr>
      <w:r>
        <w:t xml:space="preserve">7. Bivariate Analysis</w:t>
      </w:r>
    </w:p>
    <w:p>
      <w:pPr>
        <w:spacing w:after="120"/>
      </w:pPr>
      <w:r>
        <w:t xml:space="preserve">Bivariate analysis explores relationships between pairs of variables — here, indicator_metric against sector and against time of day — to surface patterns useful for downstream sector-demand modeling.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3057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6 — Indicator metric distribution by sector</w:t>
      </w:r>
    </w:p>
    <w:p>
      <w:pPr>
        <w:spacing w:after="60" w:before="120"/>
        <w:jc w:val="center"/>
      </w:pPr>
      <w:r>
        <w:drawing>
          <wp:inline distT="0" distB="0" distL="0" distR="0">
            <wp:extent cx="47625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 xml:space="preserve">Figure 7 — Mean indicator metric by hour of day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B2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pct" w:w="50%"/>
            <w:shd w:fill="1B2A4A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Outlier Rate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Retail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7.14%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EdTech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5.91%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Fintech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5.24%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Automotive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4.81%</w:t>
            </w:r>
          </w:p>
        </w:tc>
      </w:tr>
      <w:tr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FMCG</w:t>
            </w:r>
          </w:p>
        </w:tc>
        <w:tc>
          <w:tcPr>
            <w:tcW w:type="pct" w:w="50%"/>
            <w:shd w:fill="FFFFFF" w:val="clear"/>
          </w:tcPr>
          <w:p>
            <w:r>
              <w:rPr>
                <w:sz w:val="20"/>
                <w:szCs w:val="20"/>
              </w:rPr>
              <w:t xml:space="preserve">3.89%</w:t>
            </w:r>
          </w:p>
        </w:tc>
      </w:tr>
      <w:tr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Healthcare</w:t>
            </w:r>
          </w:p>
        </w:tc>
        <w:tc>
          <w:tcPr>
            <w:tcW w:type="pct" w:w="50%"/>
            <w:shd w:fill="EEF1FB" w:val="clear"/>
          </w:tcPr>
          <w:p>
            <w:r>
              <w:rPr>
                <w:sz w:val="20"/>
                <w:szCs w:val="20"/>
              </w:rPr>
              <w:t xml:space="preserve">2.73%</w:t>
            </w:r>
          </w:p>
        </w:tc>
      </w:tr>
    </w:tbl>
    <w:p>
      <w:pPr>
        <w:spacing w:after="120"/>
      </w:pPr>
      <w:r>
        <w:t xml:space="preserve">Correlation between hour-of-day and indicator_metric: -0.027 (negligible linear relationship — demand indicators are not strongly time-of-day dependent in this sample).</w:t>
      </w:r>
    </w:p>
    <w:p>
      <w:pPr>
        <w:pStyle w:val="Heading1"/>
        <w:spacing w:after="150" w:before="300"/>
      </w:pPr>
      <w:r>
        <w:t xml:space="preserve">8. Compliance with Project Rules &amp; Constraints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Multi-Tenant Isolation — every row carries tenant_id; the S3 bucket policy denies cross-tenant object access at the storage layer.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Decoupling Principle — the spider and DAG never perform direct OLTP writes; all data lands in S3 raw buckets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 Retention — a 30-day lifecycle expiration rule is applied to the tenants/ prefix in Terraform.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PII Protection — scraper_operator_email and submitted_by_ip are SHA-256 hashed before entering analytics layers.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Corruption Guardrail — batches with &gt;30% row corruption are dropped wholesale by clean_and_score.py before writing.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Insight Forge — Data Dragons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36ff01471b2593c2657da1245acce16e2d2c713.png"/><Relationship Id="rId10" Type="http://schemas.openxmlformats.org/officeDocument/2006/relationships/image" Target="media/98f39af38985864bd74b8f67db5c3922f7693dc0.png"/><Relationship Id="rId11" Type="http://schemas.openxmlformats.org/officeDocument/2006/relationships/image" Target="media/82a38b326874a89f43329b5ba86031fba845ada0.png"/><Relationship Id="rId12" Type="http://schemas.openxmlformats.org/officeDocument/2006/relationships/image" Target="media/59e6c3566509cc37cd58255271631d688efd2ad0.png"/><Relationship Id="rId13" Type="http://schemas.openxmlformats.org/officeDocument/2006/relationships/image" Target="media/05116268ea418fab93265a5370f1845b7e802a18.png"/><Relationship Id="rId14" Type="http://schemas.openxmlformats.org/officeDocument/2006/relationships/image" Target="media/5baf937ed335a68b9827da1a9c561a8173232d02.png"/><Relationship Id="rId15" Type="http://schemas.openxmlformats.org/officeDocument/2006/relationships/image" Target="media/55363750201f366e0a980ce06e30ec1c5b5e8b35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2026-07-03T04:39:21.426Z</dcterms:created>
  <dcterms:modified xsi:type="dcterms:W3CDTF">2026-07-03T04:39:21.439Z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