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1: Requirements Engineering &amp; UML Use-Case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:lang w:val="it-IT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Modelling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4"/>
          <w:szCs w:val="34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4"/>
          <w:szCs w:val="3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PROBLEM STATEMENT #37 | Retail, E-Commerce &amp; Finance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Group Travel Expense Simplification Engine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Name: Vishwas R Moodalappa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SRN: PES1UG24CS644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Section: 5K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Requirements </w:t>
      </w: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Table</w:t>
      </w:r>
      <w:r>
        <w:rPr>
          <w:rFonts w:ascii="Helvetica" w:hAnsi="Helvetic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63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605"/>
        <w:gridCol w:w="1605"/>
        <w:gridCol w:w="1605"/>
        <w:gridCol w:w="1605"/>
        <w:gridCol w:w="1605"/>
        <w:gridCol w:w="1605"/>
      </w:tblGrid>
      <w:tr>
        <w:tblPrEx>
          <w:shd w:val="clear" w:color="auto" w:fill="00a2ff"/>
        </w:tblPrEx>
        <w:trPr>
          <w:trHeight w:val="2026" w:hRule="atLeast"/>
          <w:tblHeader/>
        </w:trPr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it-IT"/>
              </w:rPr>
              <w:t>Req ID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</w:rPr>
              <w:t>Type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fr-FR"/>
              </w:rPr>
              <w:t>Description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Priority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Acceptance Criteria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fr-FR"/>
              </w:rPr>
              <w:t>Rational</w:t>
            </w:r>
          </w:p>
        </w:tc>
      </w:tr>
      <w:tr>
        <w:tblPrEx>
          <w:shd w:val="clear" w:color="auto" w:fill="cadfff"/>
        </w:tblPrEx>
        <w:trPr>
          <w:trHeight w:val="2715" w:hRule="atLeast"/>
        </w:trPr>
        <w:tc>
          <w:tcPr>
            <w:tcW w:type="dxa" w:w="160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b w:val="0"/>
                <w:bCs w:val="0"/>
                <w:shd w:val="nil" w:color="auto" w:fill="auto"/>
                <w:rtl w:val="0"/>
                <w:lang w:val="de-DE"/>
              </w:rPr>
              <w:t>FR-001</w:t>
            </w:r>
          </w:p>
        </w:tc>
        <w:tc>
          <w:tcPr>
            <w:tcW w:type="dxa" w:w="16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160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0" w:line="240" w:lineRule="auto"/>
              <w:rPr>
                <w:shd w:val="nil" w:color="auto" w:fill="auto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The system shall allow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a customer to select a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coffee type (Espresso,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etc.)</w:t>
            </w:r>
          </w:p>
        </w:tc>
        <w:tc>
          <w:tcPr>
            <w:tcW w:type="dxa" w:w="160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60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0" w:line="240" w:lineRule="auto"/>
              <w:rPr>
                <w:shd w:val="nil" w:color="auto" w:fill="auto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When a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customer taps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 w:hint="default"/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Espresso,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the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screen highlights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Espresso and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displays </w:t>
            </w:r>
            <w:r>
              <w:rPr>
                <w:rFonts w:ascii="Helvetica" w:hAnsi="Helvetica" w:hint="default"/>
                <w:sz w:val="20"/>
                <w:szCs w:val="20"/>
                <w:shd w:val="nil" w:color="auto" w:fill="auto"/>
                <w:rtl w:val="0"/>
                <w:lang w:val="en-US"/>
              </w:rPr>
              <w:t>“</w:t>
            </w: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Size</w:t>
            </w:r>
            <w:r>
              <w:rPr>
                <w:rFonts w:ascii="Helvetica" w:hAnsi="Helvetica" w:hint="default"/>
                <w:sz w:val="20"/>
                <w:szCs w:val="20"/>
                <w:shd w:val="nil" w:color="auto" w:fill="auto"/>
                <w:rtl w:val="0"/>
                <w:lang w:val="en-US"/>
              </w:rPr>
              <w:t>”</w:t>
            </w:r>
          </w:p>
        </w:tc>
        <w:tc>
          <w:tcPr>
            <w:tcW w:type="dxa" w:w="160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0" w:line="240" w:lineRule="auto"/>
              <w:rPr>
                <w:shd w:val="nil" w:color="auto" w:fill="auto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Core ordering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functionality</w:t>
            </w:r>
          </w:p>
        </w:tc>
      </w:tr>
      <w:tr>
        <w:tblPrEx>
          <w:shd w:val="clear" w:color="auto" w:fill="cadfff"/>
        </w:tblPrEx>
        <w:trPr>
          <w:trHeight w:val="1901" w:hRule="atLeast"/>
        </w:trPr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b w:val="0"/>
                <w:bCs w:val="0"/>
                <w:shd w:val="nil" w:color="auto" w:fill="auto"/>
                <w:rtl w:val="0"/>
                <w:lang w:val="de-DE"/>
              </w:rPr>
              <w:t>FR-002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0" w:line="240" w:lineRule="auto"/>
              <w:rPr>
                <w:shd w:val="nil" w:color="auto" w:fill="auto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The system shall allow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the customer to select a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drink size.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0" w:line="240" w:lineRule="auto"/>
              <w:rPr>
                <w:shd w:val="nil" w:color="auto" w:fill="auto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When a size is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selected, it is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shown as chosen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and the next step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is prompted.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0" w:line="240" w:lineRule="auto"/>
              <w:rPr>
                <w:shd w:val="nil" w:color="auto" w:fill="auto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Required for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price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calculation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and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preparation</w:t>
            </w:r>
          </w:p>
        </w:tc>
      </w:tr>
      <w:tr>
        <w:tblPrEx>
          <w:shd w:val="clear" w:color="auto" w:fill="cadfff"/>
        </w:tblPrEx>
        <w:trPr>
          <w:trHeight w:val="2652" w:hRule="atLeast"/>
        </w:trPr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b w:val="0"/>
                <w:bCs w:val="0"/>
                <w:shd w:val="nil" w:color="auto" w:fill="auto"/>
                <w:rtl w:val="0"/>
                <w:lang w:val="de-DE"/>
              </w:rPr>
              <w:t>FR-003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  <w:r>
              <w:rPr>
                <w:rFonts w:ascii="Helvetica" w:hAnsi="Helvetica"/>
                <w:shd w:val="nil" w:color="auto" w:fill="auto"/>
                <w:rtl w:val="0"/>
                <w:lang w:val="en-US"/>
              </w:rPr>
              <w:t>The system shall allow a group traveler to record an expense by entering the amount, currency, payer, and participating travelers.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When valid expense details are entered, the system shall save the expense and display it in the group's expense list.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Expense information is required to calculate individual balances.</w:t>
            </w:r>
          </w:p>
        </w:tc>
      </w:tr>
      <w:tr>
        <w:tblPrEx>
          <w:shd w:val="clear" w:color="auto" w:fill="cadfff"/>
        </w:tblPrEx>
        <w:trPr>
          <w:trHeight w:val="3366" w:hRule="atLeast"/>
        </w:trPr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b w:val="0"/>
                <w:bCs w:val="0"/>
                <w:shd w:val="nil" w:color="auto" w:fill="auto"/>
                <w:rtl w:val="0"/>
              </w:rPr>
              <w:t>FR-004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</w:pPr>
            <w:r>
              <w:rPr>
                <w:rFonts w:ascii="Helvetica" w:hAnsi="Helvetica"/>
                <w:shd w:val="nil" w:color="auto" w:fill="auto"/>
                <w:rtl w:val="0"/>
                <w:lang w:val="en-US"/>
              </w:rPr>
              <w:t>The system shall convert foreign-currency expenses into the group's selected base currency using the applicable daily exchange rate.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When an expense is entered in a supported foreign currency, the system shall apply the applicable daily exchange rate and display the converted amount in the base currency.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Allows expenses in different currencies to be combined correctly.</w:t>
            </w:r>
          </w:p>
        </w:tc>
      </w:tr>
      <w:tr>
        <w:tblPrEx>
          <w:shd w:val="clear" w:color="auto" w:fill="cadfff"/>
        </w:tblPrEx>
        <w:trPr>
          <w:trHeight w:val="2166" w:hRule="atLeast"/>
        </w:trPr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b w:val="0"/>
                <w:bCs w:val="0"/>
                <w:shd w:val="nil" w:color="auto" w:fill="auto"/>
                <w:rtl w:val="0"/>
              </w:rPr>
              <w:t>FR-005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Functional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The system shall display the calculated debts and minimum payment transactions for all group travelers.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After settlement calculation, the system shall display each traveler's net balance and the required payment transactions.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Allows travelers to understand and complete their settlements.</w:t>
            </w:r>
          </w:p>
        </w:tc>
      </w:tr>
      <w:tr>
        <w:tblPrEx>
          <w:shd w:val="clear" w:color="auto" w:fill="cadfff"/>
        </w:tblPrEx>
        <w:trPr>
          <w:trHeight w:val="1686" w:hRule="atLeast"/>
        </w:trPr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NFR-001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Non-functional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The system shall</w:t>
            </w:r>
          </w:p>
          <w:p>
            <w:pPr>
              <w:pStyle w:val="Table Style 2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complete any order</w:t>
            </w:r>
          </w:p>
          <w:p>
            <w:pPr>
              <w:pStyle w:val="Table Style 2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(selection to payment)</w:t>
            </w:r>
          </w:p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de-DE"/>
              </w:rPr>
              <w:t>in under 60 s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A timing log</w:t>
            </w:r>
          </w:p>
          <w:p>
            <w:pPr>
              <w:pStyle w:val="Table Style 2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shows &lt; 60 s</w:t>
            </w:r>
          </w:p>
          <w:p>
            <w:pPr>
              <w:pStyle w:val="Table Style 2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from first tap to</w:t>
            </w:r>
          </w:p>
          <w:p>
            <w:pPr>
              <w:pStyle w:val="Table Style 2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fr-FR"/>
              </w:rPr>
              <w:t>transaction</w:t>
            </w:r>
          </w:p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it-IT"/>
              </w:rPr>
              <w:t>approval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before="0" w:line="240" w:lineRule="auto"/>
              <w:rPr>
                <w:shd w:val="nil" w:color="auto" w:fill="auto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Ensures quick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service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during peak</w:t>
            </w:r>
          </w:p>
          <w:p>
            <w:pPr>
              <w:pStyle w:val="Default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hours</w:t>
            </w:r>
          </w:p>
        </w:tc>
      </w:tr>
      <w:tr>
        <w:tblPrEx>
          <w:shd w:val="clear" w:color="auto" w:fill="cadfff"/>
        </w:tblPrEx>
        <w:trPr>
          <w:trHeight w:val="2972" w:hRule="atLeast"/>
        </w:trPr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NFR-002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Non-functional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pacing w:before="0" w:after="240" w:line="240" w:lineRule="auto"/>
            </w:pPr>
            <w:r>
              <w:rPr>
                <w:rFonts w:ascii="Helvetica" w:hAnsi="Helvetica"/>
                <w:sz w:val="20"/>
                <w:szCs w:val="20"/>
                <w:shd w:val="nil" w:color="auto" w:fill="auto"/>
                <w:rtl w:val="0"/>
                <w:lang w:val="en-US"/>
              </w:rPr>
              <w:t>The system shall prevent unauthorized users from accessing group expense and settlement information.</w:t>
            </w:r>
            <w:r>
              <w:rPr>
                <w:rFonts w:ascii="Times Roman" w:cs="Times Roman" w:hAnsi="Times Roman" w:eastAsia="Times Roman"/>
                <w:shd w:val="nil" w:color="auto" w:fill="auto"/>
              </w:rPr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When an unauthorized user attempts to access another group's data, the system shall deny access.</w:t>
            </w:r>
          </w:p>
        </w:tc>
        <w:tc>
          <w:tcPr>
            <w:tcW w:type="dxa" w:w="1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shd w:val="nil" w:color="auto" w:fill="auto"/>
                <w:rtl w:val="0"/>
                <w:lang w:val="en-US"/>
              </w:rPr>
              <w:t>Protects sensitive financial and expense information.</w:t>
            </w:r>
          </w:p>
        </w:tc>
      </w:tr>
    </w:tbl>
    <w:p>
      <w:pPr>
        <w:pStyle w:val="Default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ind w:left="108" w:hanging="108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  <w:rPr>
          <w:rFonts w:ascii="Helvetica" w:cs="Helvetica" w:hAnsi="Helvetica" w:eastAsia="Helvetica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pacing w:before="0" w:line="240" w:lineRule="auto"/>
      </w:pPr>
      <w:r>
        <w:rPr>
          <w:rFonts w:ascii="Helvetica" w:cs="Helvetica" w:hAnsi="Helvetica" w:eastAsia="Helvetica"/>
          <w:outline w:val="0"/>
          <w:color w:val="000000"/>
          <w:sz w:val="30"/>
          <w:szCs w:val="30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