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2B4E" w:val="clear"/>
        <w:spacing w:after="0" w:before="0"/>
      </w:pPr>
      <w:r>
        <w:t xml:space="preserve"/>
      </w:r>
    </w:p>
    <w:p>
      <w:pPr>
        <w:spacing w:after="2200" w:before="2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2B4E"/>
          <w:sz w:val="72"/>
          <w:szCs w:val="72"/>
        </w:rPr>
        <w:t xml:space="preserve">ZENARA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7A7A"/>
          <w:sz w:val="32"/>
          <w:szCs w:val="32"/>
        </w:rPr>
        <w:t xml:space="preserve">Mental Health Platform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Product Requirements Document</w:t>
      </w:r>
    </w:p>
    <w:p>
      <w:pPr>
        <w:pBdr>
          <w:bottom w:val="single" w:color="1A7A7A" w:sz="8" w:space="1"/>
        </w:pBdr>
        <w:spacing w:after="200" w:before="0"/>
      </w:pPr>
      <w:r>
        <w:t xml:space="preserve"/>
      </w:r>
    </w:p>
    <w:p>
      <w:pPr>
        <w:spacing w:after="200" w:before="200"/>
      </w:pPr>
      <w:r>
        <w:t xml:space="preserve"/>
      </w:r>
    </w:p>
    <w:tbl>
      <w:tblPr>
        <w:tblW w:type="dxa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Minimum Viable Product (MVP) PRD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— Confidential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Strategy Team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600" w:before="6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D0D7E2"/>
          <w:sz w:val="16"/>
          <w:szCs w:val="16"/>
        </w:rPr>
        <w:t xml:space="preserve">CONFIDENTIAL — FOR INTERNAL USE ONLY</w:t>
      </w:r>
    </w:p>
    <w:p>
      <w:r>
        <w:br w:type="page"/>
      </w:r>
    </w:p>
    <w:p>
      <w:pPr>
        <w:shd w:fill="0D2B4E" w:val="clear"/>
        <w:spacing w:after="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01 — EXECUTIVE SUMMARY</w:t>
      </w:r>
    </w:p>
    <w:p>
      <w:pPr>
        <w:pBdr>
          <w:bottom w:val="single" w:color="1A7A7A" w:sz="6" w:space="1"/>
        </w:pBdr>
        <w:shd w:fill="1A7A7A" w:val="clear"/>
        <w:spacing w:after="240" w:before="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constitutes the formal Product Requirements Document (PRD) for the Minimum Viable Product (MVP) release of Zenara, a hybrid mental health platform designed to bridge the gap between daily emotional self-management and structured clinical therapy.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7A" w:sz="6"/>
              <w:left w:val="single" w:color="1A7A7A" w:sz="24"/>
              <w:bottom w:val="single" w:color="D0D7E2" w:sz="2"/>
              <w:right w:val="none" w:color="FFFFFF" w:sz="0"/>
            </w:tcBorders>
            <w:shd w:fill="E8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7A"/>
                <w:sz w:val="22"/>
                <w:szCs w:val="22"/>
              </w:rPr>
              <w:t xml:space="preserve">Product 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To deliver a clinically informed, AI-augmented mobile platform that empowers users to manage their mental health daily, while providing licensed therapists with rich, structured data to conduct more effective and context-aware weekly sessions.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E8F5F5" w:sz="4" w:space="2"/>
        </w:pBdr>
        <w:spacing w:after="100" w:before="320"/>
      </w:pPr>
      <w:r>
        <w:rPr>
          <w:rFonts w:ascii="Arial" w:cs="Arial" w:eastAsia="Arial" w:hAnsi="Arial"/>
          <w:b/>
          <w:bCs/>
          <w:color w:val="1A7A7A"/>
          <w:sz w:val="24"/>
          <w:szCs w:val="24"/>
        </w:rPr>
        <w:t xml:space="preserve">The Core Product Loop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Zenara platform is built around a three-stage engagement loop that creates continuous value for both end users and clinical practitioners: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8F5F5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2B4E"/>
                <w:sz w:val="22"/>
                <w:szCs w:val="22"/>
              </w:rPr>
              <w:t xml:space="preserve">01  Daily Engagement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user interacts with Zenara each day through mood check-ins, journaling, and AI companion sessions.</w:t>
            </w:r>
          </w:p>
        </w:tc>
        <w:tc>
          <w:tcPr>
            <w:tcW w:type="dxa" w:w="31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D2B4E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  AI Structuring</w:t>
            </w:r>
          </w:p>
          <w:p>
            <w:r>
              <w:rPr>
                <w:rFonts w:ascii="Arial" w:cs="Arial" w:eastAsia="Arial" w:hAnsi="Arial"/>
                <w:color w:val="E8F5F5"/>
                <w:sz w:val="20"/>
                <w:szCs w:val="20"/>
              </w:rPr>
              <w:t xml:space="preserve">The AI companion aggregates and summarises daily data — mood trends, journal themes, and emotional patterns — into a structured weekly report.</w:t>
            </w:r>
          </w:p>
        </w:tc>
        <w:tc>
          <w:tcPr>
            <w:tcW w:type="dxa" w:w="312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8F5F5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2B4E"/>
                <w:sz w:val="22"/>
                <w:szCs w:val="22"/>
              </w:rPr>
              <w:t xml:space="preserve">03  Clinical Application</w:t>
            </w:r>
          </w:p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therapist accesses the secure web portal to review AI-generated summaries before each session, enabling richer, evidence-based conversations.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shd w:fill="0D2B4E" w:val="clear"/>
        <w:spacing w:after="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02 — MVP FEATURE SCOPE</w:t>
      </w:r>
    </w:p>
    <w:p>
      <w:pPr>
        <w:pBdr>
          <w:bottom w:val="single" w:color="1A7A7A" w:sz="6" w:space="1"/>
        </w:pBdr>
        <w:shd w:fill="1A7A7A" w:val="clear"/>
        <w:spacing w:after="240" w:before="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modules represent the complete set of features required for the MVP release. Each capability has been selected to validate the core product thesis and establish the foundational AI-to-Therapist data loop. Features outside this scope are deferred to Phase 2.</w:t>
      </w:r>
    </w:p>
    <w:p>
      <w:pPr>
        <w:spacing w:after="200" w:before="200"/>
      </w:pPr>
      <w:r>
        <w:t xml:space="preserve"/>
      </w:r>
    </w:p>
    <w:p>
      <w:pPr>
        <w:pBdr>
          <w:bottom w:val="single" w:color="E8F5F5" w:sz="4" w:space="2"/>
        </w:pBdr>
        <w:spacing w:after="100" w:before="320"/>
      </w:pPr>
      <w:r>
        <w:rPr>
          <w:rFonts w:ascii="Arial" w:cs="Arial" w:eastAsia="Arial" w:hAnsi="Arial"/>
          <w:b/>
          <w:bCs/>
          <w:color w:val="1A7A7A"/>
          <w:sz w:val="24"/>
          <w:szCs w:val="24"/>
        </w:rPr>
        <w:t xml:space="preserve">Module A — Daily Check-In (Home Page)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home screen serves as the primary daily touchpoint, enabling users to log their emotional and physical state in an intuitive, engaging interface.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7A"/>
                <w:sz w:val="22"/>
                <w:szCs w:val="22"/>
              </w:rPr>
              <w:t xml:space="preserve">MODULE A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— Daily Check-In &amp; Mood Tracking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1"/>
                <w:szCs w:val="21"/>
              </w:rPr>
              <w:t xml:space="preserve">Energy Tracking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0D7E2" w:sz="1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Multi-dimensional energy logging across mental, physical, and social axes using responsive sliding scales.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1"/>
                <w:szCs w:val="21"/>
              </w:rPr>
              <w:t xml:space="preserve">Mood Meter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0D7E2" w:sz="1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Interactive home screen featuring emotive bubble UI for high-engagement, low-friction daily mood capture.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1"/>
                <w:szCs w:val="21"/>
              </w:rPr>
              <w:t xml:space="preserve">Emotion Sizing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0D7E2" w:sz="1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Users select up to five primary emotions and calibrate bubble sizes proportionally to reflect intensity, generating quantitative emotional data over time.</w:t>
            </w:r>
          </w:p>
        </w:tc>
      </w:tr>
    </w:tbl>
    <w:p>
      <w:pPr>
        <w:spacing w:after="280" w:before="280"/>
      </w:pPr>
      <w:r>
        <w:t xml:space="preserve"/>
      </w:r>
    </w:p>
    <w:p>
      <w:pPr>
        <w:pBdr>
          <w:bottom w:val="single" w:color="E8F5F5" w:sz="4" w:space="2"/>
        </w:pBdr>
        <w:spacing w:after="100" w:before="320"/>
      </w:pPr>
      <w:r>
        <w:rPr>
          <w:rFonts w:ascii="Arial" w:cs="Arial" w:eastAsia="Arial" w:hAnsi="Arial"/>
          <w:b/>
          <w:bCs/>
          <w:color w:val="1A7A7A"/>
          <w:sz w:val="24"/>
          <w:szCs w:val="24"/>
        </w:rPr>
        <w:t xml:space="preserve">Module B — Custom Journal Engine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journal module is the primary mechanism for rich qualitative data collection. Its design prioritises personalisation and expressive freedom to encourage consistent, authentic engagement.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7A"/>
                <w:sz w:val="22"/>
                <w:szCs w:val="22"/>
              </w:rPr>
              <w:t xml:space="preserve">MODULE B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— Personalised Journal Engine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1"/>
                <w:szCs w:val="21"/>
              </w:rPr>
              <w:t xml:space="preserve">Personalised Canvas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0D7E2" w:sz="1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Highly customisable, visually appealing journalling interface adaptable to individual user preferences.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1"/>
                <w:szCs w:val="21"/>
              </w:rPr>
              <w:t xml:space="preserve">Multimedia Input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0D7E2" w:sz="1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Supports text bubbles, voice notes, and a freehand doodle section to accommodate diverse communication styles and cognitive profiles.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1"/>
                <w:szCs w:val="21"/>
              </w:rPr>
              <w:t xml:space="preserve">Guided Reflection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0D7E2" w:sz="1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AI-curated journal prompts and reflective questions to support users who require structured emotional processing.</w:t>
            </w:r>
          </w:p>
        </w:tc>
      </w:tr>
    </w:tbl>
    <w:p>
      <w:pPr>
        <w:spacing w:after="280" w:before="280"/>
      </w:pPr>
      <w:r>
        <w:t xml:space="preserve"/>
      </w:r>
    </w:p>
    <w:p>
      <w:pPr>
        <w:pBdr>
          <w:bottom w:val="single" w:color="E8F5F5" w:sz="4" w:space="2"/>
        </w:pBdr>
        <w:spacing w:after="100" w:before="320"/>
      </w:pPr>
      <w:r>
        <w:rPr>
          <w:rFonts w:ascii="Arial" w:cs="Arial" w:eastAsia="Arial" w:hAnsi="Arial"/>
          <w:b/>
          <w:bCs/>
          <w:color w:val="1A7A7A"/>
          <w:sz w:val="24"/>
          <w:szCs w:val="24"/>
        </w:rPr>
        <w:t xml:space="preserve">Module C — AI Companion &amp; Therapist Dashboard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module constitutes the core differentiator of the Zenara platform — the intelligent bridge between daily user experience and clinical practice.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7A"/>
                <w:sz w:val="22"/>
                <w:szCs w:val="22"/>
              </w:rPr>
              <w:t xml:space="preserve">MODULE C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— AI Companion &amp; Clinical Interface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1"/>
                <w:szCs w:val="21"/>
              </w:rPr>
              <w:t xml:space="preserve">AI Emotional Companion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0D7E2" w:sz="1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Always-available conversational AI providing empathetic, evidence-informed emotional support between therapy sessions.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1"/>
                <w:szCs w:val="21"/>
              </w:rPr>
              <w:t xml:space="preserve">Inner Dialogue Reframer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0D7E2" w:sz="1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Cognitive reframing tools that guide users in identifying and restructuring negative thought patterns.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1"/>
                <w:szCs w:val="21"/>
              </w:rPr>
              <w:t xml:space="preserve">Executive Function Buddy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0D7E2" w:sz="1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Task decomposition assistant to support users with executive function challenges in breaking complex responsibilities into manageable steps.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1"/>
                <w:szCs w:val="21"/>
              </w:rPr>
              <w:t xml:space="preserve">Safety Layer (Invisible)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0D7E2" w:sz="1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Real-time passive risk detection system. Upon identification of self-harm indicators, the AI companion is automatically suspended and emergency contact resources are surfaced immediately.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1"/>
                <w:szCs w:val="21"/>
              </w:rPr>
              <w:t xml:space="preserve">Therapist Web Portal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0D7E2" w:sz="1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Secure, HIPAA-aligned web dashboard enabling therapists to review AI-generated weekly summaries — including mood trends and journal themes — in advance of scheduled sessions.</w:t>
            </w:r>
          </w:p>
        </w:tc>
      </w:tr>
    </w:tbl>
    <w:p>
      <w:pPr>
        <w:spacing w:after="280" w:before="280"/>
      </w:pPr>
      <w:r>
        <w:t xml:space="preserve"/>
      </w:r>
    </w:p>
    <w:p>
      <w:pPr>
        <w:pBdr>
          <w:bottom w:val="single" w:color="E8F5F5" w:sz="4" w:space="2"/>
        </w:pBdr>
        <w:spacing w:after="100" w:before="320"/>
      </w:pPr>
      <w:r>
        <w:rPr>
          <w:rFonts w:ascii="Arial" w:cs="Arial" w:eastAsia="Arial" w:hAnsi="Arial"/>
          <w:b/>
          <w:bCs/>
          <w:color w:val="1A7A7A"/>
          <w:sz w:val="24"/>
          <w:szCs w:val="24"/>
        </w:rPr>
        <w:t xml:space="preserve">Module D — Coping Library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Coping Library provides users with a structured repository of evidence-based self-regulation tools, accessible on demand as a personal safe space.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7A"/>
                <w:sz w:val="22"/>
                <w:szCs w:val="22"/>
              </w:rPr>
              <w:t xml:space="preserve">MODULE D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— Actionable Coping Library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1"/>
                <w:szCs w:val="21"/>
              </w:rPr>
              <w:t xml:space="preserve">Personalised Safe Space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0D7E2" w:sz="1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A curated, user-customisable library of coping strategies and grounding exercises tailored to individual needs and preferences.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1"/>
                <w:szCs w:val="21"/>
              </w:rPr>
              <w:t xml:space="preserve">Sensory Reset Soundboard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0D7E2" w:sz="1"/>
              <w:right w:val="none" w:color="FFFFFF" w:sz="0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4A5568"/>
                <w:sz w:val="21"/>
                <w:szCs w:val="21"/>
              </w:rPr>
              <w:t xml:space="preserve">Ambient audio player featuring calming frequencies and soundscapes designed to facilitate sensory regulation and stress reduction.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shd w:fill="0D2B4E" w:val="clear"/>
        <w:spacing w:after="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03 — PHASE 2 PRODUCT ROADMAP</w:t>
      </w:r>
    </w:p>
    <w:p>
      <w:pPr>
        <w:pBdr>
          <w:bottom w:val="single" w:color="1A7A7A" w:sz="6" w:space="1"/>
        </w:pBdr>
        <w:shd w:fill="1A7A7A" w:val="clear"/>
        <w:spacing w:after="240" w:before="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features have been strategically deferred to Phase 2. This decision ensures that the MVP development budget is concentrated on validating the core AI-to-Therapist value proposition. Each deferral is based on resource complexity, dependency on validated user data, or infrastructure requirements that exceed MVP scope.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D2B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 for Phase 2 Deferral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7A"/>
                <w:sz w:val="21"/>
                <w:szCs w:val="21"/>
              </w:rPr>
              <w:t xml:space="preserve">Community Component</w:t>
            </w:r>
          </w:p>
        </w:tc>
        <w:tc>
          <w:tcPr>
            <w:tcW w:type="dxa" w:w="6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Requires substantial server infrastructure and dedicated human moderation resources to maintain a safe and inclusive environment for neurodivergent users. Premature deployment poses significant safety and reputational risk.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7A"/>
                <w:sz w:val="21"/>
                <w:szCs w:val="21"/>
              </w:rPr>
              <w:t xml:space="preserve">Sleep Tracker</w:t>
            </w:r>
          </w:p>
        </w:tc>
        <w:tc>
          <w:tcPr>
            <w:tcW w:type="dxa" w:w="6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Subjective self-reporting yields low engagement and unreliable data. Phase 2 will integrate a custom BLE (Bluetooth Low Energy) bridge to ingest objective sleep metrics directly from user wearables.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7A"/>
                <w:sz w:val="21"/>
                <w:szCs w:val="21"/>
              </w:rPr>
              <w:t xml:space="preserve">Gamified Marketplace</w:t>
            </w:r>
          </w:p>
        </w:tc>
        <w:tc>
          <w:tcPr>
            <w:tcW w:type="dxa" w:w="6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Extensive front-end design effort for sticker packs and gamified customization would divert engineering resources from the core AI-to-Therapist data loop — the primary value driver of the platform.</w:t>
            </w:r>
          </w:p>
        </w:tc>
      </w:tr>
      <w:tr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7A"/>
                <w:sz w:val="21"/>
                <w:szCs w:val="21"/>
              </w:rPr>
              <w:t xml:space="preserve">Influencer Affiliate System</w:t>
            </w:r>
          </w:p>
        </w:tc>
        <w:tc>
          <w:tcPr>
            <w:tcW w:type="dxa" w:w="6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Custom backend affiliate tracking, commission management, and tiered subscription logic constitutes marketing infrastructure rather than a clinical feature. Deferred pending validated user acquisition data.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shd w:fill="0D2B4E" w:val="clear"/>
        <w:spacing w:after="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04 — TECHNICAL &amp; COMPLIANCE BASELINE</w:t>
      </w:r>
    </w:p>
    <w:p>
      <w:pPr>
        <w:pBdr>
          <w:bottom w:val="single" w:color="1A7A7A" w:sz="6" w:space="1"/>
        </w:pBdr>
        <w:shd w:fill="1A7A7A" w:val="clear"/>
        <w:spacing w:after="240" w:before="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requirements are non-negotiable pre-conditions for the MVP launch. They constitute the legal, security, and ethical foundation upon which the platform must be built prior to any Play Store submission or user onboarding.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7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7A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 Specification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8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1"/>
                <w:szCs w:val="21"/>
              </w:rPr>
              <w:t xml:space="preserve">End-to-End Encryption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8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AES-256 encryption applied to all journal entries, voice notes, and AI chat logs in transit and at rest.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1"/>
                <w:szCs w:val="21"/>
              </w:rPr>
              <w:t xml:space="preserve">Explicit Consent Gateways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Mandatory onboarding consent screens requiring affirmative user agreement prior to sharing daily summaries with the assigned therapist.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8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1"/>
                <w:szCs w:val="21"/>
              </w:rPr>
              <w:t xml:space="preserve">Data Deletion Protocol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8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One-click data erasure available in user settings, ensuring full compliance with India's Digital Personal Data Protection (DPDP) Act, 2023.</w:t>
            </w:r>
          </w:p>
        </w:tc>
      </w:tr>
      <w:tr>
        <w:tc>
          <w:tcPr>
            <w:tcW w:type="dxa" w:w="2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1"/>
                <w:szCs w:val="21"/>
              </w:rPr>
              <w:t xml:space="preserve">Clinical Disclaimer (Persistent)</w:t>
            </w:r>
          </w:p>
        </w:tc>
        <w:tc>
          <w:tcPr>
            <w:tcW w:type="dxa" w:w="65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Non-dismissible UI element displayed throughout the application clarifying that the AI companion is a supportive tool and not a licensed medical professional.</w:t>
            </w:r>
          </w:p>
        </w:tc>
      </w:tr>
    </w:tbl>
    <w:p>
      <w:pPr>
        <w:spacing w:after="30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7A" w:sz="6"/>
              <w:left w:val="single" w:color="1A7A7A" w:sz="24"/>
              <w:bottom w:val="single" w:color="D0D7E2" w:sz="2"/>
              <w:right w:val="none" w:color="FFFFFF" w:sz="0"/>
            </w:tcBorders>
            <w:shd w:fill="E8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7A"/>
                <w:sz w:val="22"/>
                <w:szCs w:val="22"/>
              </w:rPr>
              <w:t xml:space="preserve">Regulatory Note — DPDP Act Compliance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All data handling practices must conform to India's Digital Personal Data Protection (DPDP) Act, 2023. The Data Deletion Protocol outlined above is a mandatory compliance requirement and must be fully implemented and independently verified prior to public release.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shd w:fill="0D2B4E" w:val="clear"/>
        <w:spacing w:after="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05 — DOCUMENT CONTROL &amp; APPROVAL</w:t>
      </w:r>
    </w:p>
    <w:p>
      <w:pPr>
        <w:pBdr>
          <w:bottom w:val="single" w:color="1A7A7A" w:sz="6" w:space="1"/>
        </w:pBdr>
        <w:shd w:fill="1A7A7A" w:val="clear"/>
        <w:spacing w:after="240" w:before="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360"/>
        <w:gridCol w:w="1500"/>
      </w:tblGrid>
      <w:tr>
        <w:trPr>
          <w:tblHeader/>
        </w:trP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D2B4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D2B4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Team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D2B4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D2B4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Strategy Team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May 2026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Engineering Team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Review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Clinical Advisor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Clinical Advisory Board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Review</w:t>
            </w:r>
          </w:p>
        </w:tc>
      </w:tr>
      <w:tr>
        <w:tc>
          <w:tcPr>
            <w:tcW w:type="dxa" w:w="2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3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Team</w:t>
            </w:r>
          </w:p>
        </w:tc>
        <w:tc>
          <w:tcPr>
            <w:tcW w:type="dxa" w:w="2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Review</w:t>
            </w:r>
          </w:p>
        </w:tc>
      </w:tr>
    </w:tbl>
    <w:p>
      <w:pPr>
        <w:spacing w:after="300" w:before="3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2B4E"/>
          <w:sz w:val="20"/>
          <w:szCs w:val="20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May 2026</w:t>
            </w:r>
          </w:p>
        </w:tc>
        <w:tc>
          <w:tcPr>
            <w:tcW w:type="dxa" w:w="336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Initial MVP PRD — baseline scope defined</w:t>
            </w:r>
          </w:p>
        </w:tc>
        <w:tc>
          <w:tcPr>
            <w:tcW w:type="dxa" w:w="24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Strategy Team</w:t>
            </w:r>
          </w:p>
        </w:tc>
      </w:tr>
    </w:tbl>
    <w:p>
      <w:pPr>
        <w:spacing w:after="300" w:before="3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This document is the property of Zenara and is intended solely for internal strategic and engineering use. Distribution outside the organisation requires written authorisation from the Product Owner.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single" w:color="D0D7E2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D0D7E2"/>
              <w:sz w:val="16"/>
              <w:szCs w:val="16"/>
            </w:rPr>
            <w:t xml:space="preserve">© 2026 Zenara. All rights reserved. Internal use only.</w:t>
          </w:r>
        </w:p>
      </w:tc>
      <w:tc>
        <w:tcPr>
          <w:tcW w:type="dxa" w:w="4080"/>
          <w:tcBorders>
            <w:top w:val="single" w:color="D0D7E2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D0D7E2"/>
              <w:sz w:val="16"/>
              <w:szCs w:val="16"/>
            </w:rPr>
            <w:t xml:space="preserve">Page 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single" w:color="1A7A7A" w:sz="4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D2B4E"/>
              <w:sz w:val="18"/>
              <w:szCs w:val="18"/>
            </w:rPr>
            <w:t xml:space="preserve">ZENARA — Product Requirements Document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single" w:color="1A7A7A" w:sz="4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4A5568"/>
              <w:sz w:val="18"/>
              <w:szCs w:val="18"/>
            </w:rPr>
            <w:t xml:space="preserve">CONFIDENTIAL  |  v1.0  |  May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b/>
        <w:bCs/>
        <w:color w:val="1A7A7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2026-05-25T23:44:52.332Z</dcterms:created>
  <dcterms:modified xsi:type="dcterms:W3CDTF">2026-05-25T23:44:52.332Z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