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2 Summary: Embeddings, Vector Spaces &amp; RAG Foundations</w:t>
      </w:r>
    </w:p>
    <w:p>
      <w:pPr>
        <w:pStyle w:val="Heading2"/>
      </w:pPr>
      <w:r>
        <w:t>1. What is an Embedding?</w:t>
      </w:r>
    </w:p>
    <w:p>
      <w:r>
        <w:t>Token IDs are just identifiers and contain no semantic meaning. Embeddings convert words into dense vectors that capture meaning. Similar words tend to have similar vectors.</w:t>
      </w:r>
    </w:p>
    <w:p>
      <w:pPr>
        <w:pStyle w:val="Heading2"/>
      </w:pPr>
      <w:r>
        <w:t>2. Vector Space</w:t>
      </w:r>
    </w:p>
    <w:p>
      <w:r>
        <w:t>An embedding is a point in a high-dimensional vector space. Words with similar meanings are located near each other in this space.</w:t>
      </w:r>
    </w:p>
    <w:p>
      <w:pPr>
        <w:pStyle w:val="Heading2"/>
      </w:pPr>
      <w:r>
        <w:t>3. Why Similar Words Become Close</w:t>
      </w:r>
    </w:p>
    <w:p>
      <w:r>
        <w:t>Words that appear in similar contexts during training receive similar gradient updates. Over time, their embeddings move closer together in vector space.</w:t>
      </w:r>
    </w:p>
    <w:p>
      <w:pPr>
        <w:pStyle w:val="Heading2"/>
      </w:pPr>
      <w:r>
        <w:t>4. Cosine Similarity</w:t>
      </w:r>
    </w:p>
    <w:p>
      <w:r>
        <w:t>Cosine similarity measures how similar the directions of two vectors are. A value near 1 means highly similar, 0 means unrelated, and -1 means opposite.</w:t>
      </w:r>
    </w:p>
    <w:p>
      <w:pPr>
        <w:pStyle w:val="Heading2"/>
      </w:pPr>
      <w:r>
        <w:t>5. Contextual Embeddings</w:t>
      </w:r>
    </w:p>
    <w:p>
      <w:r>
        <w:t>Transformers use attention to modify a word's representation based on surrounding words. The word 'bank' can have different embeddings in financial and river contexts.</w:t>
      </w:r>
    </w:p>
    <w:p>
      <w:pPr>
        <w:pStyle w:val="Heading2"/>
      </w:pPr>
      <w:r>
        <w:t>6. Sentence Embeddings</w:t>
      </w:r>
    </w:p>
    <w:p>
      <w:r>
        <w:t>Each token receives a contextual embedding. A pooling operation (such as mean pooling) combines token embeddings into a single vector representing the sentence.</w:t>
      </w:r>
    </w:p>
    <w:p>
      <w:pPr>
        <w:pStyle w:val="Heading2"/>
      </w:pPr>
      <w:r>
        <w:t>7. Document Embeddings in RAG</w:t>
      </w:r>
    </w:p>
    <w:p>
      <w:r>
        <w:t>Documents are converted into embeddings and stored in a vector database during indexing.</w:t>
      </w:r>
    </w:p>
    <w:p>
      <w:pPr>
        <w:pStyle w:val="Heading2"/>
      </w:pPr>
      <w:r>
        <w:t>8. Query Embeddings</w:t>
      </w:r>
    </w:p>
    <w:p>
      <w:r>
        <w:t>When a user asks a question, the query is converted into an embedding using the same embedding model.</w:t>
      </w:r>
    </w:p>
    <w:p>
      <w:pPr>
        <w:pStyle w:val="Heading2"/>
      </w:pPr>
      <w:r>
        <w:t>9. Retrieval Using Cosine Similarity</w:t>
      </w:r>
    </w:p>
    <w:p>
      <w:r>
        <w:t>The query vector is compared against stored document vectors. The most similar documents are retrieved.</w:t>
      </w:r>
    </w:p>
    <w:p>
      <w:pPr>
        <w:pStyle w:val="Heading2"/>
      </w:pPr>
      <w:r>
        <w:t>10. Augmentation and Generation</w:t>
      </w:r>
    </w:p>
    <w:p>
      <w:r>
        <w:t>Retrieved documents are added to the prompt. The LLM then uses both the question and retrieved context to generate an answer.</w:t>
      </w:r>
    </w:p>
    <w:p>
      <w:pPr>
        <w:pStyle w:val="Heading2"/>
      </w:pPr>
      <w:r>
        <w:t>11. Complete RAG Pipeline</w:t>
      </w:r>
    </w:p>
    <w:p>
      <w:r>
        <w:t>Documents → Embeddings → Vector Database</w:t>
        <w:br/>
        <w:t>User Query → Query Embedding → Similarity Search → Retrieve Top Documents → Augment Prompt → LLM Generates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