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8"/>
          <w:sz w:val="40"/>
          <w:szCs w:val="40"/>
        </w:rPr>
        <w:t xml:space="preserve">Manufacturability Screening</w:t>
      </w:r>
    </w:p>
    <w:p>
      <w:pPr>
        <w:spacing w:after="40"/>
        <w:jc w:val="center"/>
      </w:pPr>
      <w:r>
        <w:rPr>
          <w:i/>
          <w:iCs/>
          <w:color w:val="595959"/>
          <w:sz w:val="24"/>
          <w:szCs w:val="24"/>
        </w:rPr>
        <w:t xml:space="preserve">Automated Machining Feature Recognition from CAD Geometry</w:t>
      </w:r>
    </w:p>
    <w:p>
      <w:pPr>
        <w:spacing w:after="200"/>
        <w:jc w:val="center"/>
      </w:pPr>
      <w:r>
        <w:rPr>
          <w:color w:val="595959"/>
          <w:sz w:val="18"/>
          <w:szCs w:val="18"/>
        </w:rPr>
        <w:t xml:space="preserve">Vishal Prabu  |  October 2026</w:t>
      </w:r>
    </w:p>
    <w:p>
      <w:pPr>
        <w:pStyle w:val="Heading1"/>
        <w:keepNext/>
        <w:spacing w:after="60" w:before="140"/>
      </w:pPr>
      <w:r>
        <w:rPr>
          <w:b/>
          <w:bCs/>
          <w:color w:val="1F4E78"/>
          <w:sz w:val="24"/>
          <w:szCs w:val="24"/>
        </w:rPr>
        <w:t xml:space="preserve">Project Overview</w:t>
      </w:r>
    </w:p>
    <w:p>
      <w:pPr>
        <w:spacing w:after="70"/>
      </w:pPr>
      <w:r>
        <w:rPr>
          <w:sz w:val="19"/>
          <w:szCs w:val="19"/>
        </w:rPr>
        <w:t xml:space="preserve">This project is a proof of concept demonstrating that, given a CAD part, an AI system can automatically recognize which machined feature type each face belongs to, such as a pocket, slot, or chamfer, directly from its geometry. It is a self-directed technical exploration and a companion effort to a related design-reuse project, both aligned with the Industrials team's broader direction on applying GenAI to the engineering design lifecycle. The proof of concept now also analyzes any STEP file, summarizes the recognized features for the whole part, applies rule-based manufacturability flags, and provides a simple web interface.</w:t>
      </w:r>
    </w:p>
    <w:p>
      <w:pPr>
        <w:pStyle w:val="Heading1"/>
        <w:keepNext/>
        <w:spacing w:after="60" w:before="140"/>
      </w:pPr>
      <w:r>
        <w:rPr>
          <w:b/>
          <w:bCs/>
          <w:color w:val="1F4E78"/>
          <w:sz w:val="24"/>
          <w:szCs w:val="24"/>
        </w:rPr>
        <w:t xml:space="preserve">Objectives</w:t>
      </w:r>
    </w:p>
    <w:p>
      <w:pPr>
        <w:pStyle w:val="ListParagraph"/>
        <w:numPr>
          <w:ilvl w:val="0"/>
          <w:numId w:val="2"/>
        </w:numPr>
        <w:spacing w:after="40"/>
      </w:pPr>
      <w:r>
        <w:rPr>
          <w:sz w:val="19"/>
          <w:szCs w:val="19"/>
        </w:rPr>
        <w:t xml:space="preserve">Establish whether the geometric deep learning technique used for design-reuse search can be adapted, via transfer learning, to a different task: automated machining-feature recognition.</w:t>
      </w:r>
    </w:p>
    <w:p>
      <w:pPr>
        <w:pStyle w:val="ListParagraph"/>
        <w:numPr>
          <w:ilvl w:val="0"/>
          <w:numId w:val="2"/>
        </w:numPr>
        <w:spacing w:after="40"/>
      </w:pPr>
      <w:r>
        <w:rPr>
          <w:sz w:val="19"/>
          <w:szCs w:val="19"/>
        </w:rPr>
        <w:t xml:space="preserve">Build and validate an end-to-end proof of concept trained on real, labeled CAD geometry.</w:t>
      </w:r>
    </w:p>
    <w:p>
      <w:pPr>
        <w:pStyle w:val="ListParagraph"/>
        <w:numPr>
          <w:ilvl w:val="0"/>
          <w:numId w:val="2"/>
        </w:numPr>
        <w:spacing w:after="40"/>
      </w:pPr>
      <w:r>
        <w:rPr>
          <w:sz w:val="19"/>
          <w:szCs w:val="19"/>
        </w:rPr>
        <w:t xml:space="preserve">Lay the technical groundwork for a manufacturability screening capability, where recognized features are checked against manufacturing rules to flag design-for-manufacturing concerns.</w:t>
      </w:r>
    </w:p>
    <w:p>
      <w:pPr>
        <w:pStyle w:val="ListParagraph"/>
        <w:numPr>
          <w:ilvl w:val="0"/>
          <w:numId w:val="2"/>
        </w:numPr>
        <w:spacing w:after="40"/>
      </w:pPr>
      <w:r>
        <w:rPr>
          <w:sz w:val="19"/>
          <w:szCs w:val="19"/>
        </w:rPr>
        <w:t xml:space="preserve">Make the capability usable on any STEP file through a command-line tool and a simple web interface.</w:t>
      </w:r>
    </w:p>
    <w:p>
      <w:pPr>
        <w:pStyle w:val="Heading1"/>
        <w:keepNext/>
        <w:spacing w:after="60" w:before="140"/>
      </w:pPr>
      <w:r>
        <w:rPr>
          <w:b/>
          <w:bCs/>
          <w:color w:val="1F4E78"/>
          <w:sz w:val="24"/>
          <w:szCs w:val="24"/>
        </w:rPr>
        <w:t xml:space="preserve">Why This Matters</w:t>
      </w:r>
    </w:p>
    <w:p>
      <w:pPr>
        <w:spacing w:after="70"/>
      </w:pPr>
      <w:r>
        <w:rPr>
          <w:sz w:val="19"/>
          <w:szCs w:val="19"/>
        </w:rPr>
        <w:t xml:space="preserve">Manufacturability issues, such as deep narrow pockets, sharp internal corners, or features that are hard to reach with standard tooling, are often only caught late in the design cycle, during manual review or after a part reaches a machinist. Automatically recognizing machining features from geometry is the foundational step toward flagging these concerns earlier, while a design is still being developed. This capability is a natural extension of the geometric design-reuse work explored in parallel, and reflects the same broader direction: applying GenAI to specific, well-defined problems in the engineering design lifecycle rather than a generic overview of what AI can do.</w:t>
      </w:r>
    </w:p>
    <w:p>
      <w:pPr>
        <w:pStyle w:val="Heading1"/>
        <w:keepNext/>
        <w:spacing w:after="60" w:before="140"/>
      </w:pPr>
      <w:r>
        <w:rPr>
          <w:b/>
          <w:bCs/>
          <w:color w:val="1F4E78"/>
          <w:sz w:val="24"/>
          <w:szCs w:val="24"/>
        </w:rPr>
        <w:t xml:space="preserve">Technical Approach</w:t>
      </w:r>
    </w:p>
    <w:p>
      <w:pPr>
        <w:spacing w:after="70"/>
      </w:pPr>
      <w:r>
        <w:rPr>
          <w:sz w:val="19"/>
          <w:szCs w:val="19"/>
        </w:rPr>
        <w:t xml:space="preserve">The system is built through transfer learning: reusing a pretrained geometric deep learning model rather than training one from scratch.</w:t>
      </w:r>
    </w:p>
    <w:p>
      <w:pPr>
        <w:pStyle w:val="ListParagraph"/>
        <w:numPr>
          <w:ilvl w:val="0"/>
          <w:numId w:val="2"/>
        </w:numPr>
        <w:spacing w:after="40"/>
      </w:pPr>
      <w:r>
        <w:rPr>
          <w:sz w:val="19"/>
          <w:szCs w:val="19"/>
        </w:rPr>
        <w:t xml:space="preserve">Backbone (BRepNet): a deep learning model pretrained to understand CAD geometry directly from B-Rep topology (faces, edges, surfaces), reused unchanged from the design-reuse project. Its parameters are kept frozen; only a new classification layer is trained on top.</w:t>
      </w:r>
    </w:p>
    <w:p>
      <w:pPr>
        <w:pStyle w:val="ListParagraph"/>
        <w:numPr>
          <w:ilvl w:val="0"/>
          <w:numId w:val="2"/>
        </w:numPr>
        <w:spacing w:after="40"/>
      </w:pPr>
      <w:r>
        <w:rPr>
          <w:sz w:val="19"/>
          <w:szCs w:val="19"/>
        </w:rPr>
        <w:t xml:space="preserve">Training data (MFCAD): an open-source dataset of 15,488 CAD parts labeled with 16 machining feature classes (pockets, slots, steps, chamfers, and others). A verified 1,000-part subset was used for training.</w:t>
      </w:r>
    </w:p>
    <w:p>
      <w:pPr>
        <w:pStyle w:val="ListParagraph"/>
        <w:numPr>
          <w:ilvl w:val="0"/>
          <w:numId w:val="2"/>
        </w:numPr>
        <w:spacing w:after="40"/>
      </w:pPr>
      <w:r>
        <w:rPr>
          <w:sz w:val="19"/>
          <w:szCs w:val="19"/>
        </w:rPr>
        <w:t xml:space="preserve">Class-weighted training: one feature class, unmachined stock surface, makes up nearly a third of all labeled faces. A naive training approach collapsed onto predicting that majority class for most parts. Reweighting the training loss by class frequency resolved this: every one of the 16 classes is now recognized with some accuracy, rather than several being ignored entirely.</w:t>
      </w:r>
    </w:p>
    <w:p>
      <w:pPr>
        <w:pStyle w:val="ListParagraph"/>
        <w:numPr>
          <w:ilvl w:val="0"/>
          <w:numId w:val="2"/>
        </w:numPr>
        <w:spacing w:after="40"/>
      </w:pPr>
      <w:r>
        <w:rPr>
          <w:sz w:val="19"/>
          <w:szCs w:val="19"/>
        </w:rPr>
        <w:t xml:space="preserve">Correctness safeguards: face labels are matched by the face names embedded in each STEP file (verified on all 1,000 parts), the frozen backbone is kept in evaluation mode so its normalization statistics cannot drift, and the best validation checkpoint is kept because accuracy fluctuates between epochs.</w:t>
      </w:r>
    </w:p>
    <w:p>
      <w:pPr>
        <w:pStyle w:val="Heading1"/>
        <w:keepNext/>
        <w:spacing w:after="60" w:before="140"/>
      </w:pPr>
      <w:r>
        <w:rPr>
          <w:b/>
          <w:bCs/>
          <w:color w:val="1F4E78"/>
          <w:sz w:val="24"/>
          <w:szCs w:val="24"/>
        </w:rPr>
        <w:t xml:space="preserve">Capabilities</w:t>
      </w:r>
    </w:p>
    <w:p>
      <w:pPr>
        <w:pStyle w:val="ListParagraph"/>
        <w:numPr>
          <w:ilvl w:val="0"/>
          <w:numId w:val="2"/>
        </w:numPr>
        <w:spacing w:after="40"/>
      </w:pPr>
      <w:r>
        <w:rPr>
          <w:sz w:val="19"/>
          <w:szCs w:val="19"/>
        </w:rPr>
        <w:t xml:space="preserve">New-part analysis: any STEP file is processed in an isolated subprocess and every face is classified with a confidence score. Unreadable or malformed files return an error instead of crashing the tool.</w:t>
      </w:r>
    </w:p>
    <w:p>
      <w:pPr>
        <w:pStyle w:val="ListParagraph"/>
        <w:numPr>
          <w:ilvl w:val="0"/>
          <w:numId w:val="2"/>
        </w:numPr>
        <w:spacing w:after="40"/>
      </w:pPr>
      <w:r>
        <w:rPr>
          <w:sz w:val="19"/>
          <w:szCs w:val="19"/>
        </w:rPr>
        <w:t xml:space="preserve">Part summary: for each recognized class, the face count, an approximate feature instance count (adjacent faces of the same class), the mean confidence, and the model reliability for that class (low, medium or high, from its validation recall).</w:t>
      </w:r>
    </w:p>
    <w:p>
      <w:pPr>
        <w:pStyle w:val="ListParagraph"/>
        <w:numPr>
          <w:ilvl w:val="0"/>
          <w:numId w:val="2"/>
        </w:numPr>
        <w:spacing w:after="40"/>
      </w:pPr>
      <w:r>
        <w:rPr>
          <w:sz w:val="19"/>
          <w:szCs w:val="19"/>
        </w:rPr>
        <w:t xml:space="preserve">Manufacturability flags: recognized feature types map to review items such as blind-depth control, internal corner radius, acute or multi-sided profiles, and non-orthogonal setups. Flags for low-reliability classes are worded as possible rather than detected.</w:t>
      </w:r>
    </w:p>
    <w:p>
      <w:pPr>
        <w:pStyle w:val="ListParagraph"/>
        <w:numPr>
          <w:ilvl w:val="0"/>
          <w:numId w:val="2"/>
        </w:numPr>
        <w:spacing w:after="40"/>
      </w:pPr>
      <w:r>
        <w:rPr>
          <w:sz w:val="19"/>
          <w:szCs w:val="19"/>
        </w:rPr>
        <w:t xml:space="preserve">Web interface (Streamlit): an interactive 3D view colored by predicted or true feature class, with low-confidence faces greyed out, alongside the feature summary and the flags grouped by severity.</w:t>
      </w:r>
    </w:p>
    <w:p>
      <w:pPr>
        <w:pStyle w:val="Heading1"/>
        <w:keepNext/>
        <w:spacing w:after="60" w:before="140"/>
      </w:pPr>
      <w:r>
        <w:rPr>
          <w:b/>
          <w:bCs/>
          <w:color w:val="1F4E78"/>
          <w:sz w:val="24"/>
          <w:szCs w:val="24"/>
        </w:rPr>
        <w:t xml:space="preserve">Results to Date</w:t>
      </w:r>
    </w:p>
    <w:p>
      <w:pPr>
        <w:pStyle w:val="ListParagraph"/>
        <w:numPr>
          <w:ilvl w:val="0"/>
          <w:numId w:val="2"/>
        </w:numPr>
        <w:spacing w:after="40"/>
      </w:pPr>
      <w:r>
        <w:rPr>
          <w:sz w:val="19"/>
          <w:szCs w:val="19"/>
        </w:rPr>
        <w:t xml:space="preserve">Achieved 60.4% face-level classification accuracy (2,694 of 4,464 faces) across all 16 machining feature classes on held-out validation data, up from a collapsed result in which 8 of 16 classes were never correctly predicted, before class-weighted training was introduced.</w:t>
      </w:r>
    </w:p>
    <w:p>
      <w:pPr>
        <w:pStyle w:val="ListParagraph"/>
        <w:numPr>
          <w:ilvl w:val="0"/>
          <w:numId w:val="2"/>
        </w:numPr>
        <w:spacing w:after="40"/>
      </w:pPr>
      <w:r>
        <w:rPr>
          <w:sz w:val="19"/>
          <w:szCs w:val="19"/>
        </w:rPr>
        <w:t xml:space="preserve">The largest gains came from class-weighted training, longer training, and a small two-layer classification head in place of a single linear layer, using a 1,000-part training subset.</w:t>
      </w:r>
    </w:p>
    <w:p>
      <w:pPr>
        <w:pStyle w:val="ListParagraph"/>
        <w:numPr>
          <w:ilvl w:val="0"/>
          <w:numId w:val="2"/>
        </w:numPr>
        <w:spacing w:after="40"/>
      </w:pPr>
      <w:r>
        <w:rPr>
          <w:sz w:val="19"/>
          <w:szCs w:val="19"/>
        </w:rPr>
        <w:t xml:space="preserve">Accuracy varies meaningfully by feature type and by part. Some classes, such as rectangular through-slots and stock surface, exceed 80% accuracy; more geometrically ambiguous or underrepresented classes, such as rectangular blind steps, remain considerably weaker.</w:t>
      </w:r>
    </w:p>
    <w:p>
      <w:pPr>
        <w:pStyle w:val="ListParagraph"/>
        <w:numPr>
          <w:ilvl w:val="0"/>
          <w:numId w:val="2"/>
        </w:numPr>
        <w:spacing w:after="40"/>
      </w:pPr>
      <w:r>
        <w:rPr>
          <w:sz w:val="19"/>
          <w:szCs w:val="19"/>
        </w:rPr>
        <w:t xml:space="preserve">The new-part analysis path reproduces the 60.4% validation result exactly, confirming that predictions on new files are processed identically to training. Analysis takes about 5 seconds per part, including model loading.</w:t>
      </w:r>
    </w:p>
    <w:p>
      <w:pPr>
        <w:pStyle w:val="ListParagraph"/>
        <w:numPr>
          <w:ilvl w:val="0"/>
          <w:numId w:val="2"/>
        </w:numPr>
        <w:spacing w:after="40"/>
      </w:pPr>
      <w:r>
        <w:rPr>
          <w:sz w:val="19"/>
          <w:szCs w:val="19"/>
        </w:rPr>
        <w:t xml:space="preserve">On sample validation parts, the flags raised from predictions were a subset of those raised from the true labels, with no false alarms.</w:t>
      </w:r>
    </w:p>
    <w:p>
      <w:pPr>
        <w:pStyle w:val="ListParagraph"/>
        <w:numPr>
          <w:ilvl w:val="0"/>
          <w:numId w:val="2"/>
        </w:numPr>
        <w:spacing w:after="40"/>
      </w:pPr>
      <w:r>
        <w:rPr>
          <w:sz w:val="19"/>
          <w:szCs w:val="19"/>
        </w:rPr>
        <w:t xml:space="preserve">This stage demonstrates that the transfer-learning technique itself works and generalizes across the full feature vocabulary. Current results are proof-of-concept grade, not yet at the accuracy level required for a production manufacturability screening tool.</w:t>
      </w:r>
    </w:p>
    <w:p>
      <w:pPr>
        <w:pStyle w:val="Heading1"/>
        <w:keepNext/>
        <w:spacing w:after="60" w:before="140"/>
      </w:pPr>
      <w:r>
        <w:rPr>
          <w:b/>
          <w:bCs/>
          <w:color w:val="1F4E78"/>
          <w:sz w:val="24"/>
          <w:szCs w:val="24"/>
        </w:rPr>
        <w:t xml:space="preserve">Example Classification Results</w:t>
      </w:r>
    </w:p>
    <w:p>
      <w:pPr>
        <w:spacing w:after="70"/>
      </w:pPr>
      <w:r>
        <w:rPr>
          <w:sz w:val="19"/>
          <w:szCs w:val="19"/>
        </w:rPr>
        <w:t xml:space="preserve">Example 1: per-face detail for one test part. Predictions in red indicate faces the model classified incorrectly.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3350"/>
        <w:gridCol w:w="3350"/>
        <w:gridCol w:w="1200"/>
      </w:tblGrid>
      <w:tr>
        <w:tc>
          <w:tcPr>
            <w:tcW w:type="dxa" w:w="700"/>
            <w:shd w:fill="1F4E78" w:val="clear"/>
            <w:tcMar>
              <w:top w:type="dxa" w:w="60"/>
              <w:left w:type="dxa" w:w="100"/>
              <w:bottom w:type="dxa" w:w="60"/>
              <w:right w:type="dxa" w:w="100"/>
            </w:tcMar>
          </w:tcPr>
          <w:p>
            <w:pPr>
              <w:spacing w:after="40" w:before="40"/>
              <w:jc w:val="center"/>
            </w:pPr>
            <w:r>
              <w:rPr>
                <w:b/>
                <w:bCs/>
                <w:color w:val="FFFFFF"/>
                <w:sz w:val="18"/>
                <w:szCs w:val="18"/>
              </w:rPr>
              <w:t xml:space="preserve">Face</w:t>
            </w:r>
          </w:p>
        </w:tc>
        <w:tc>
          <w:tcPr>
            <w:tcW w:type="dxa" w:w="3350"/>
            <w:shd w:fill="1F4E78" w:val="clear"/>
            <w:tcMar>
              <w:top w:type="dxa" w:w="60"/>
              <w:left w:type="dxa" w:w="100"/>
              <w:bottom w:type="dxa" w:w="60"/>
              <w:right w:type="dxa" w:w="100"/>
            </w:tcMar>
          </w:tcPr>
          <w:p>
            <w:pPr>
              <w:spacing w:after="40" w:before="40"/>
              <w:jc w:val="left"/>
            </w:pPr>
            <w:r>
              <w:rPr>
                <w:b/>
                <w:bCs/>
                <w:color w:val="FFFFFF"/>
                <w:sz w:val="18"/>
                <w:szCs w:val="18"/>
              </w:rPr>
              <w:t xml:space="preserve">True class</w:t>
            </w:r>
          </w:p>
        </w:tc>
        <w:tc>
          <w:tcPr>
            <w:tcW w:type="dxa" w:w="3350"/>
            <w:shd w:fill="1F4E78" w:val="clear"/>
            <w:tcMar>
              <w:top w:type="dxa" w:w="60"/>
              <w:left w:type="dxa" w:w="100"/>
              <w:bottom w:type="dxa" w:w="60"/>
              <w:right w:type="dxa" w:w="100"/>
            </w:tcMar>
          </w:tcPr>
          <w:p>
            <w:pPr>
              <w:spacing w:after="40" w:before="40"/>
              <w:jc w:val="left"/>
            </w:pPr>
            <w:r>
              <w:rPr>
                <w:b/>
                <w:bCs/>
                <w:color w:val="FFFFFF"/>
                <w:sz w:val="18"/>
                <w:szCs w:val="18"/>
              </w:rPr>
              <w:t xml:space="preserve">Predicted class</w:t>
            </w:r>
          </w:p>
        </w:tc>
        <w:tc>
          <w:tcPr>
            <w:tcW w:type="dxa" w:w="1200"/>
            <w:shd w:fill="1F4E78" w:val="clear"/>
            <w:tcMar>
              <w:top w:type="dxa" w:w="60"/>
              <w:left w:type="dxa" w:w="100"/>
              <w:bottom w:type="dxa" w:w="60"/>
              <w:right w:type="dxa" w:w="100"/>
            </w:tcMar>
          </w:tcPr>
          <w:p>
            <w:pPr>
              <w:spacing w:after="40" w:before="40"/>
              <w:jc w:val="center"/>
            </w:pPr>
            <w:r>
              <w:rPr>
                <w:b/>
                <w:bCs/>
                <w:color w:val="FFFFFF"/>
                <w:sz w:val="18"/>
                <w:szCs w:val="18"/>
              </w:rPr>
              <w:t xml:space="preserve">Result</w:t>
            </w:r>
          </w:p>
        </w:tc>
      </w:tr>
      <w:tr>
        <w:tc>
          <w:tcPr>
            <w:tcW w:type="dxa" w:w="700"/>
            <w:tcMar>
              <w:top w:type="dxa" w:w="40"/>
              <w:left w:type="dxa" w:w="100"/>
              <w:bottom w:type="dxa" w:w="40"/>
              <w:right w:type="dxa" w:w="100"/>
            </w:tcMar>
          </w:tcPr>
          <w:p>
            <w:pPr>
              <w:spacing w:after="40" w:before="40"/>
              <w:jc w:val="center"/>
            </w:pPr>
            <w:r>
              <w:rPr>
                <w:b w:val="false"/>
                <w:bCs w:val="false"/>
                <w:color w:val="000000"/>
                <w:sz w:val="17"/>
                <w:szCs w:val="17"/>
              </w:rPr>
              <w:t xml:space="preserve">0</w:t>
            </w:r>
          </w:p>
        </w:tc>
        <w:tc>
          <w:tcPr>
            <w:tcW w:type="dxa" w:w="3350"/>
            <w:tcMar>
              <w:top w:type="dxa" w:w="40"/>
              <w:left w:type="dxa" w:w="100"/>
              <w:bottom w:type="dxa" w:w="40"/>
              <w:right w:type="dxa" w:w="100"/>
            </w:tcMar>
          </w:tcPr>
          <w:p>
            <w:pPr>
              <w:spacing w:after="40" w:before="40"/>
              <w:jc w:val="left"/>
            </w:pPr>
            <w:r>
              <w:rPr>
                <w:b w:val="false"/>
                <w:bCs w:val="false"/>
                <w:color w:val="000000"/>
                <w:sz w:val="17"/>
                <w:szCs w:val="17"/>
              </w:rPr>
              <w:t xml:space="preserve">stock</w:t>
            </w:r>
          </w:p>
        </w:tc>
        <w:tc>
          <w:tcPr>
            <w:tcW w:type="dxa" w:w="3350"/>
            <w:tcMar>
              <w:top w:type="dxa" w:w="40"/>
              <w:left w:type="dxa" w:w="100"/>
              <w:bottom w:type="dxa" w:w="40"/>
              <w:right w:type="dxa" w:w="100"/>
            </w:tcMar>
          </w:tcPr>
          <w:p>
            <w:pPr>
              <w:spacing w:after="40" w:before="40"/>
              <w:jc w:val="left"/>
            </w:pPr>
            <w:r>
              <w:rPr>
                <w:b/>
                <w:bCs/>
                <w:color w:val="9C0006"/>
                <w:sz w:val="17"/>
                <w:szCs w:val="17"/>
              </w:rPr>
              <w:t xml:space="preserve">rectangular_blind_step</w:t>
            </w:r>
          </w:p>
        </w:tc>
        <w:tc>
          <w:tcPr>
            <w:tcW w:type="dxa" w:w="1200"/>
            <w:tcMar>
              <w:top w:type="dxa" w:w="40"/>
              <w:left w:type="dxa" w:w="100"/>
              <w:bottom w:type="dxa" w:w="40"/>
              <w:right w:type="dxa" w:w="100"/>
            </w:tcMar>
          </w:tcPr>
          <w:p>
            <w:pPr>
              <w:spacing w:after="40" w:before="40"/>
              <w:jc w:val="center"/>
            </w:pPr>
            <w:r>
              <w:rPr>
                <w:b/>
                <w:bCs/>
                <w:color w:val="9C0006"/>
                <w:sz w:val="17"/>
                <w:szCs w:val="17"/>
              </w:rPr>
              <w:t xml:space="preserve">Wrong</w:t>
            </w:r>
          </w:p>
        </w:tc>
      </w:tr>
      <w:tr>
        <w:tc>
          <w:tcPr>
            <w:tcW w:type="dxa" w:w="700"/>
            <w:tcMar>
              <w:top w:type="dxa" w:w="40"/>
              <w:left w:type="dxa" w:w="100"/>
              <w:bottom w:type="dxa" w:w="40"/>
              <w:right w:type="dxa" w:w="100"/>
            </w:tcMar>
          </w:tcPr>
          <w:p>
            <w:pPr>
              <w:spacing w:after="40" w:before="40"/>
              <w:jc w:val="center"/>
            </w:pPr>
            <w:r>
              <w:rPr>
                <w:b w:val="false"/>
                <w:bCs w:val="false"/>
                <w:color w:val="000000"/>
                <w:sz w:val="17"/>
                <w:szCs w:val="17"/>
              </w:rPr>
              <w:t xml:space="preserve">1</w:t>
            </w:r>
          </w:p>
        </w:tc>
        <w:tc>
          <w:tcPr>
            <w:tcW w:type="dxa" w:w="3350"/>
            <w:tcMar>
              <w:top w:type="dxa" w:w="40"/>
              <w:left w:type="dxa" w:w="100"/>
              <w:bottom w:type="dxa" w:w="40"/>
              <w:right w:type="dxa" w:w="100"/>
            </w:tcMar>
          </w:tcPr>
          <w:p>
            <w:pPr>
              <w:spacing w:after="40" w:before="40"/>
              <w:jc w:val="left"/>
            </w:pPr>
            <w:r>
              <w:rPr>
                <w:b w:val="false"/>
                <w:bCs w:val="false"/>
                <w:color w:val="000000"/>
                <w:sz w:val="17"/>
                <w:szCs w:val="17"/>
              </w:rPr>
              <w:t xml:space="preserve">stock</w:t>
            </w:r>
          </w:p>
        </w:tc>
        <w:tc>
          <w:tcPr>
            <w:tcW w:type="dxa" w:w="3350"/>
            <w:tcMar>
              <w:top w:type="dxa" w:w="40"/>
              <w:left w:type="dxa" w:w="100"/>
              <w:bottom w:type="dxa" w:w="40"/>
              <w:right w:type="dxa" w:w="100"/>
            </w:tcMar>
          </w:tcPr>
          <w:p>
            <w:pPr>
              <w:spacing w:after="40" w:before="40"/>
              <w:jc w:val="left"/>
            </w:pPr>
            <w:r>
              <w:rPr>
                <w:b w:val="false"/>
                <w:bCs w:val="false"/>
                <w:color w:val="000000"/>
                <w:sz w:val="17"/>
                <w:szCs w:val="17"/>
              </w:rPr>
              <w:t xml:space="preserve">stock</w:t>
            </w:r>
          </w:p>
        </w:tc>
        <w:tc>
          <w:tcPr>
            <w:tcW w:type="dxa" w:w="1200"/>
            <w:tcMar>
              <w:top w:type="dxa" w:w="40"/>
              <w:left w:type="dxa" w:w="100"/>
              <w:bottom w:type="dxa" w:w="40"/>
              <w:right w:type="dxa" w:w="100"/>
            </w:tcMar>
          </w:tcPr>
          <w:p>
            <w:pPr>
              <w:spacing w:after="40" w:before="40"/>
              <w:jc w:val="center"/>
            </w:pPr>
            <w:r>
              <w:rPr>
                <w:b w:val="false"/>
                <w:bCs w:val="false"/>
                <w:color w:val="595959"/>
                <w:sz w:val="17"/>
                <w:szCs w:val="17"/>
              </w:rPr>
              <w:t xml:space="preserve">Correct</w:t>
            </w:r>
          </w:p>
        </w:tc>
      </w:tr>
      <w:tr>
        <w:tc>
          <w:tcPr>
            <w:tcW w:type="dxa" w:w="700"/>
            <w:tcMar>
              <w:top w:type="dxa" w:w="40"/>
              <w:left w:type="dxa" w:w="100"/>
              <w:bottom w:type="dxa" w:w="40"/>
              <w:right w:type="dxa" w:w="100"/>
            </w:tcMar>
          </w:tcPr>
          <w:p>
            <w:pPr>
              <w:spacing w:after="40" w:before="40"/>
              <w:jc w:val="center"/>
            </w:pPr>
            <w:r>
              <w:rPr>
                <w:b w:val="false"/>
                <w:bCs w:val="false"/>
                <w:color w:val="000000"/>
                <w:sz w:val="17"/>
                <w:szCs w:val="17"/>
              </w:rPr>
              <w:t xml:space="preserve">2</w:t>
            </w:r>
          </w:p>
        </w:tc>
        <w:tc>
          <w:tcPr>
            <w:tcW w:type="dxa" w:w="3350"/>
            <w:tcMar>
              <w:top w:type="dxa" w:w="40"/>
              <w:left w:type="dxa" w:w="100"/>
              <w:bottom w:type="dxa" w:w="40"/>
              <w:right w:type="dxa" w:w="100"/>
            </w:tcMar>
          </w:tcPr>
          <w:p>
            <w:pPr>
              <w:spacing w:after="40" w:before="40"/>
              <w:jc w:val="left"/>
            </w:pPr>
            <w:r>
              <w:rPr>
                <w:b w:val="false"/>
                <w:bCs w:val="false"/>
                <w:color w:val="000000"/>
                <w:sz w:val="17"/>
                <w:szCs w:val="17"/>
              </w:rPr>
              <w:t xml:space="preserve">rectangular_through_slot</w:t>
            </w:r>
          </w:p>
        </w:tc>
        <w:tc>
          <w:tcPr>
            <w:tcW w:type="dxa" w:w="3350"/>
            <w:tcMar>
              <w:top w:type="dxa" w:w="40"/>
              <w:left w:type="dxa" w:w="100"/>
              <w:bottom w:type="dxa" w:w="40"/>
              <w:right w:type="dxa" w:w="100"/>
            </w:tcMar>
          </w:tcPr>
          <w:p>
            <w:pPr>
              <w:spacing w:after="40" w:before="40"/>
              <w:jc w:val="left"/>
            </w:pPr>
            <w:r>
              <w:rPr>
                <w:b w:val="false"/>
                <w:bCs w:val="false"/>
                <w:color w:val="000000"/>
                <w:sz w:val="17"/>
                <w:szCs w:val="17"/>
              </w:rPr>
              <w:t xml:space="preserve">rectangular_through_slot</w:t>
            </w:r>
          </w:p>
        </w:tc>
        <w:tc>
          <w:tcPr>
            <w:tcW w:type="dxa" w:w="1200"/>
            <w:tcMar>
              <w:top w:type="dxa" w:w="40"/>
              <w:left w:type="dxa" w:w="100"/>
              <w:bottom w:type="dxa" w:w="40"/>
              <w:right w:type="dxa" w:w="100"/>
            </w:tcMar>
          </w:tcPr>
          <w:p>
            <w:pPr>
              <w:spacing w:after="40" w:before="40"/>
              <w:jc w:val="center"/>
            </w:pPr>
            <w:r>
              <w:rPr>
                <w:b w:val="false"/>
                <w:bCs w:val="false"/>
                <w:color w:val="595959"/>
                <w:sz w:val="17"/>
                <w:szCs w:val="17"/>
              </w:rPr>
              <w:t xml:space="preserve">Correct</w:t>
            </w:r>
          </w:p>
        </w:tc>
      </w:tr>
      <w:tr>
        <w:tc>
          <w:tcPr>
            <w:tcW w:type="dxa" w:w="700"/>
            <w:tcMar>
              <w:top w:type="dxa" w:w="40"/>
              <w:left w:type="dxa" w:w="100"/>
              <w:bottom w:type="dxa" w:w="40"/>
              <w:right w:type="dxa" w:w="100"/>
            </w:tcMar>
          </w:tcPr>
          <w:p>
            <w:pPr>
              <w:spacing w:after="40" w:before="40"/>
              <w:jc w:val="center"/>
            </w:pPr>
            <w:r>
              <w:rPr>
                <w:b w:val="false"/>
                <w:bCs w:val="false"/>
                <w:color w:val="000000"/>
                <w:sz w:val="17"/>
                <w:szCs w:val="17"/>
              </w:rPr>
              <w:t xml:space="preserve">3</w:t>
            </w:r>
          </w:p>
        </w:tc>
        <w:tc>
          <w:tcPr>
            <w:tcW w:type="dxa" w:w="3350"/>
            <w:tcMar>
              <w:top w:type="dxa" w:w="40"/>
              <w:left w:type="dxa" w:w="100"/>
              <w:bottom w:type="dxa" w:w="40"/>
              <w:right w:type="dxa" w:w="100"/>
            </w:tcMar>
          </w:tcPr>
          <w:p>
            <w:pPr>
              <w:spacing w:after="40" w:before="40"/>
              <w:jc w:val="left"/>
            </w:pPr>
            <w:r>
              <w:rPr>
                <w:b w:val="false"/>
                <w:bCs w:val="false"/>
                <w:color w:val="000000"/>
                <w:sz w:val="17"/>
                <w:szCs w:val="17"/>
              </w:rPr>
              <w:t xml:space="preserve">stock</w:t>
            </w:r>
          </w:p>
        </w:tc>
        <w:tc>
          <w:tcPr>
            <w:tcW w:type="dxa" w:w="3350"/>
            <w:tcMar>
              <w:top w:type="dxa" w:w="40"/>
              <w:left w:type="dxa" w:w="100"/>
              <w:bottom w:type="dxa" w:w="40"/>
              <w:right w:type="dxa" w:w="100"/>
            </w:tcMar>
          </w:tcPr>
          <w:p>
            <w:pPr>
              <w:spacing w:after="40" w:before="40"/>
              <w:jc w:val="left"/>
            </w:pPr>
            <w:r>
              <w:rPr>
                <w:b/>
                <w:bCs/>
                <w:color w:val="9C0006"/>
                <w:sz w:val="17"/>
                <w:szCs w:val="17"/>
              </w:rPr>
              <w:t xml:space="preserve">6sides_passage</w:t>
            </w:r>
          </w:p>
        </w:tc>
        <w:tc>
          <w:tcPr>
            <w:tcW w:type="dxa" w:w="1200"/>
            <w:tcMar>
              <w:top w:type="dxa" w:w="40"/>
              <w:left w:type="dxa" w:w="100"/>
              <w:bottom w:type="dxa" w:w="40"/>
              <w:right w:type="dxa" w:w="100"/>
            </w:tcMar>
          </w:tcPr>
          <w:p>
            <w:pPr>
              <w:spacing w:after="40" w:before="40"/>
              <w:jc w:val="center"/>
            </w:pPr>
            <w:r>
              <w:rPr>
                <w:b/>
                <w:bCs/>
                <w:color w:val="9C0006"/>
                <w:sz w:val="17"/>
                <w:szCs w:val="17"/>
              </w:rPr>
              <w:t xml:space="preserve">Wrong</w:t>
            </w:r>
          </w:p>
        </w:tc>
      </w:tr>
      <w:tr>
        <w:tc>
          <w:tcPr>
            <w:tcW w:type="dxa" w:w="700"/>
            <w:tcMar>
              <w:top w:type="dxa" w:w="40"/>
              <w:left w:type="dxa" w:w="100"/>
              <w:bottom w:type="dxa" w:w="40"/>
              <w:right w:type="dxa" w:w="100"/>
            </w:tcMar>
          </w:tcPr>
          <w:p>
            <w:pPr>
              <w:spacing w:after="40" w:before="40"/>
              <w:jc w:val="center"/>
            </w:pPr>
            <w:r>
              <w:rPr>
                <w:b w:val="false"/>
                <w:bCs w:val="false"/>
                <w:color w:val="000000"/>
                <w:sz w:val="17"/>
                <w:szCs w:val="17"/>
              </w:rPr>
              <w:t xml:space="preserve">4</w:t>
            </w:r>
          </w:p>
        </w:tc>
        <w:tc>
          <w:tcPr>
            <w:tcW w:type="dxa" w:w="3350"/>
            <w:tcMar>
              <w:top w:type="dxa" w:w="40"/>
              <w:left w:type="dxa" w:w="100"/>
              <w:bottom w:type="dxa" w:w="40"/>
              <w:right w:type="dxa" w:w="100"/>
            </w:tcMar>
          </w:tcPr>
          <w:p>
            <w:pPr>
              <w:spacing w:after="40" w:before="40"/>
              <w:jc w:val="left"/>
            </w:pPr>
            <w:r>
              <w:rPr>
                <w:b w:val="false"/>
                <w:bCs w:val="false"/>
                <w:color w:val="000000"/>
                <w:sz w:val="17"/>
                <w:szCs w:val="17"/>
              </w:rPr>
              <w:t xml:space="preserve">stock</w:t>
            </w:r>
          </w:p>
        </w:tc>
        <w:tc>
          <w:tcPr>
            <w:tcW w:type="dxa" w:w="3350"/>
            <w:tcMar>
              <w:top w:type="dxa" w:w="40"/>
              <w:left w:type="dxa" w:w="100"/>
              <w:bottom w:type="dxa" w:w="40"/>
              <w:right w:type="dxa" w:w="100"/>
            </w:tcMar>
          </w:tcPr>
          <w:p>
            <w:pPr>
              <w:spacing w:after="40" w:before="40"/>
              <w:jc w:val="left"/>
            </w:pPr>
            <w:r>
              <w:rPr>
                <w:b/>
                <w:bCs/>
                <w:color w:val="9C0006"/>
                <w:sz w:val="17"/>
                <w:szCs w:val="17"/>
              </w:rPr>
              <w:t xml:space="preserve">6sides_passage</w:t>
            </w:r>
          </w:p>
        </w:tc>
        <w:tc>
          <w:tcPr>
            <w:tcW w:type="dxa" w:w="1200"/>
            <w:tcMar>
              <w:top w:type="dxa" w:w="40"/>
              <w:left w:type="dxa" w:w="100"/>
              <w:bottom w:type="dxa" w:w="40"/>
              <w:right w:type="dxa" w:w="100"/>
            </w:tcMar>
          </w:tcPr>
          <w:p>
            <w:pPr>
              <w:spacing w:after="40" w:before="40"/>
              <w:jc w:val="center"/>
            </w:pPr>
            <w:r>
              <w:rPr>
                <w:b/>
                <w:bCs/>
                <w:color w:val="9C0006"/>
                <w:sz w:val="17"/>
                <w:szCs w:val="17"/>
              </w:rPr>
              <w:t xml:space="preserve">Wrong</w:t>
            </w:r>
          </w:p>
        </w:tc>
      </w:tr>
      <w:tr>
        <w:tc>
          <w:tcPr>
            <w:tcW w:type="dxa" w:w="700"/>
            <w:tcMar>
              <w:top w:type="dxa" w:w="40"/>
              <w:left w:type="dxa" w:w="100"/>
              <w:bottom w:type="dxa" w:w="40"/>
              <w:right w:type="dxa" w:w="100"/>
            </w:tcMar>
          </w:tcPr>
          <w:p>
            <w:pPr>
              <w:spacing w:after="40" w:before="40"/>
              <w:jc w:val="center"/>
            </w:pPr>
            <w:r>
              <w:rPr>
                <w:b w:val="false"/>
                <w:bCs w:val="false"/>
                <w:color w:val="000000"/>
                <w:sz w:val="17"/>
                <w:szCs w:val="17"/>
              </w:rPr>
              <w:t xml:space="preserve">5</w:t>
            </w:r>
          </w:p>
        </w:tc>
        <w:tc>
          <w:tcPr>
            <w:tcW w:type="dxa" w:w="3350"/>
            <w:tcMar>
              <w:top w:type="dxa" w:w="40"/>
              <w:left w:type="dxa" w:w="100"/>
              <w:bottom w:type="dxa" w:w="40"/>
              <w:right w:type="dxa" w:w="100"/>
            </w:tcMar>
          </w:tcPr>
          <w:p>
            <w:pPr>
              <w:spacing w:after="40" w:before="40"/>
              <w:jc w:val="left"/>
            </w:pPr>
            <w:r>
              <w:rPr>
                <w:b w:val="false"/>
                <w:bCs w:val="false"/>
                <w:color w:val="000000"/>
                <w:sz w:val="17"/>
                <w:szCs w:val="17"/>
              </w:rPr>
              <w:t xml:space="preserve">rectangular_through_slot</w:t>
            </w:r>
          </w:p>
        </w:tc>
        <w:tc>
          <w:tcPr>
            <w:tcW w:type="dxa" w:w="3350"/>
            <w:tcMar>
              <w:top w:type="dxa" w:w="40"/>
              <w:left w:type="dxa" w:w="100"/>
              <w:bottom w:type="dxa" w:w="40"/>
              <w:right w:type="dxa" w:w="100"/>
            </w:tcMar>
          </w:tcPr>
          <w:p>
            <w:pPr>
              <w:spacing w:after="40" w:before="40"/>
              <w:jc w:val="left"/>
            </w:pPr>
            <w:r>
              <w:rPr>
                <w:b w:val="false"/>
                <w:bCs w:val="false"/>
                <w:color w:val="000000"/>
                <w:sz w:val="17"/>
                <w:szCs w:val="17"/>
              </w:rPr>
              <w:t xml:space="preserve">rectangular_through_slot</w:t>
            </w:r>
          </w:p>
        </w:tc>
        <w:tc>
          <w:tcPr>
            <w:tcW w:type="dxa" w:w="1200"/>
            <w:tcMar>
              <w:top w:type="dxa" w:w="40"/>
              <w:left w:type="dxa" w:w="100"/>
              <w:bottom w:type="dxa" w:w="40"/>
              <w:right w:type="dxa" w:w="100"/>
            </w:tcMar>
          </w:tcPr>
          <w:p>
            <w:pPr>
              <w:spacing w:after="40" w:before="40"/>
              <w:jc w:val="center"/>
            </w:pPr>
            <w:r>
              <w:rPr>
                <w:b w:val="false"/>
                <w:bCs w:val="false"/>
                <w:color w:val="595959"/>
                <w:sz w:val="17"/>
                <w:szCs w:val="17"/>
              </w:rPr>
              <w:t xml:space="preserve">Correct</w:t>
            </w:r>
          </w:p>
        </w:tc>
      </w:tr>
      <w:tr>
        <w:tc>
          <w:tcPr>
            <w:tcW w:type="dxa" w:w="700"/>
            <w:tcMar>
              <w:top w:type="dxa" w:w="40"/>
              <w:left w:type="dxa" w:w="100"/>
              <w:bottom w:type="dxa" w:w="40"/>
              <w:right w:type="dxa" w:w="100"/>
            </w:tcMar>
          </w:tcPr>
          <w:p>
            <w:pPr>
              <w:spacing w:after="40" w:before="40"/>
              <w:jc w:val="center"/>
            </w:pPr>
            <w:r>
              <w:rPr>
                <w:b w:val="false"/>
                <w:bCs w:val="false"/>
                <w:color w:val="000000"/>
                <w:sz w:val="17"/>
                <w:szCs w:val="17"/>
              </w:rPr>
              <w:t xml:space="preserve">6</w:t>
            </w:r>
          </w:p>
        </w:tc>
        <w:tc>
          <w:tcPr>
            <w:tcW w:type="dxa" w:w="3350"/>
            <w:tcMar>
              <w:top w:type="dxa" w:w="40"/>
              <w:left w:type="dxa" w:w="100"/>
              <w:bottom w:type="dxa" w:w="40"/>
              <w:right w:type="dxa" w:w="100"/>
            </w:tcMar>
          </w:tcPr>
          <w:p>
            <w:pPr>
              <w:spacing w:after="40" w:before="40"/>
              <w:jc w:val="left"/>
            </w:pPr>
            <w:r>
              <w:rPr>
                <w:b w:val="false"/>
                <w:bCs w:val="false"/>
                <w:color w:val="000000"/>
                <w:sz w:val="17"/>
                <w:szCs w:val="17"/>
              </w:rPr>
              <w:t xml:space="preserve">stock</w:t>
            </w:r>
          </w:p>
        </w:tc>
        <w:tc>
          <w:tcPr>
            <w:tcW w:type="dxa" w:w="3350"/>
            <w:tcMar>
              <w:top w:type="dxa" w:w="40"/>
              <w:left w:type="dxa" w:w="100"/>
              <w:bottom w:type="dxa" w:w="40"/>
              <w:right w:type="dxa" w:w="100"/>
            </w:tcMar>
          </w:tcPr>
          <w:p>
            <w:pPr>
              <w:spacing w:after="40" w:before="40"/>
              <w:jc w:val="left"/>
            </w:pPr>
            <w:r>
              <w:rPr>
                <w:b w:val="false"/>
                <w:bCs w:val="false"/>
                <w:color w:val="000000"/>
                <w:sz w:val="17"/>
                <w:szCs w:val="17"/>
              </w:rPr>
              <w:t xml:space="preserve">stock</w:t>
            </w:r>
          </w:p>
        </w:tc>
        <w:tc>
          <w:tcPr>
            <w:tcW w:type="dxa" w:w="1200"/>
            <w:tcMar>
              <w:top w:type="dxa" w:w="40"/>
              <w:left w:type="dxa" w:w="100"/>
              <w:bottom w:type="dxa" w:w="40"/>
              <w:right w:type="dxa" w:w="100"/>
            </w:tcMar>
          </w:tcPr>
          <w:p>
            <w:pPr>
              <w:spacing w:after="40" w:before="40"/>
              <w:jc w:val="center"/>
            </w:pPr>
            <w:r>
              <w:rPr>
                <w:b w:val="false"/>
                <w:bCs w:val="false"/>
                <w:color w:val="595959"/>
                <w:sz w:val="17"/>
                <w:szCs w:val="17"/>
              </w:rPr>
              <w:t xml:space="preserve">Correct</w:t>
            </w:r>
          </w:p>
        </w:tc>
      </w:tr>
      <w:tr>
        <w:tc>
          <w:tcPr>
            <w:tcW w:type="dxa" w:w="700"/>
            <w:tcMar>
              <w:top w:type="dxa" w:w="40"/>
              <w:left w:type="dxa" w:w="100"/>
              <w:bottom w:type="dxa" w:w="40"/>
              <w:right w:type="dxa" w:w="100"/>
            </w:tcMar>
          </w:tcPr>
          <w:p>
            <w:pPr>
              <w:spacing w:after="40" w:before="40"/>
              <w:jc w:val="center"/>
            </w:pPr>
            <w:r>
              <w:rPr>
                <w:b w:val="false"/>
                <w:bCs w:val="false"/>
                <w:color w:val="000000"/>
                <w:sz w:val="17"/>
                <w:szCs w:val="17"/>
              </w:rPr>
              <w:t xml:space="preserve">7</w:t>
            </w:r>
          </w:p>
        </w:tc>
        <w:tc>
          <w:tcPr>
            <w:tcW w:type="dxa" w:w="3350"/>
            <w:tcMar>
              <w:top w:type="dxa" w:w="40"/>
              <w:left w:type="dxa" w:w="100"/>
              <w:bottom w:type="dxa" w:w="40"/>
              <w:right w:type="dxa" w:w="100"/>
            </w:tcMar>
          </w:tcPr>
          <w:p>
            <w:pPr>
              <w:spacing w:after="40" w:before="40"/>
              <w:jc w:val="left"/>
            </w:pPr>
            <w:r>
              <w:rPr>
                <w:b w:val="false"/>
                <w:bCs w:val="false"/>
                <w:color w:val="000000"/>
                <w:sz w:val="17"/>
                <w:szCs w:val="17"/>
              </w:rPr>
              <w:t xml:space="preserve">rectangular_passage</w:t>
            </w:r>
          </w:p>
        </w:tc>
        <w:tc>
          <w:tcPr>
            <w:tcW w:type="dxa" w:w="3350"/>
            <w:tcMar>
              <w:top w:type="dxa" w:w="40"/>
              <w:left w:type="dxa" w:w="100"/>
              <w:bottom w:type="dxa" w:w="40"/>
              <w:right w:type="dxa" w:w="100"/>
            </w:tcMar>
          </w:tcPr>
          <w:p>
            <w:pPr>
              <w:spacing w:after="40" w:before="40"/>
              <w:jc w:val="left"/>
            </w:pPr>
            <w:r>
              <w:rPr>
                <w:b w:val="false"/>
                <w:bCs w:val="false"/>
                <w:color w:val="000000"/>
                <w:sz w:val="17"/>
                <w:szCs w:val="17"/>
              </w:rPr>
              <w:t xml:space="preserve">rectangular_passage</w:t>
            </w:r>
          </w:p>
        </w:tc>
        <w:tc>
          <w:tcPr>
            <w:tcW w:type="dxa" w:w="1200"/>
            <w:tcMar>
              <w:top w:type="dxa" w:w="40"/>
              <w:left w:type="dxa" w:w="100"/>
              <w:bottom w:type="dxa" w:w="40"/>
              <w:right w:type="dxa" w:w="100"/>
            </w:tcMar>
          </w:tcPr>
          <w:p>
            <w:pPr>
              <w:spacing w:after="40" w:before="40"/>
              <w:jc w:val="center"/>
            </w:pPr>
            <w:r>
              <w:rPr>
                <w:b w:val="false"/>
                <w:bCs w:val="false"/>
                <w:color w:val="595959"/>
                <w:sz w:val="17"/>
                <w:szCs w:val="17"/>
              </w:rPr>
              <w:t xml:space="preserve">Correct</w:t>
            </w:r>
          </w:p>
        </w:tc>
      </w:tr>
      <w:tr>
        <w:tc>
          <w:tcPr>
            <w:tcW w:type="dxa" w:w="700"/>
            <w:tcMar>
              <w:top w:type="dxa" w:w="40"/>
              <w:left w:type="dxa" w:w="100"/>
              <w:bottom w:type="dxa" w:w="40"/>
              <w:right w:type="dxa" w:w="100"/>
            </w:tcMar>
          </w:tcPr>
          <w:p>
            <w:pPr>
              <w:spacing w:after="40" w:before="40"/>
              <w:jc w:val="center"/>
            </w:pPr>
            <w:r>
              <w:rPr>
                <w:b w:val="false"/>
                <w:bCs w:val="false"/>
                <w:color w:val="000000"/>
                <w:sz w:val="17"/>
                <w:szCs w:val="17"/>
              </w:rPr>
              <w:t xml:space="preserve">8</w:t>
            </w:r>
          </w:p>
        </w:tc>
        <w:tc>
          <w:tcPr>
            <w:tcW w:type="dxa" w:w="3350"/>
            <w:tcMar>
              <w:top w:type="dxa" w:w="40"/>
              <w:left w:type="dxa" w:w="100"/>
              <w:bottom w:type="dxa" w:w="40"/>
              <w:right w:type="dxa" w:w="100"/>
            </w:tcMar>
          </w:tcPr>
          <w:p>
            <w:pPr>
              <w:spacing w:after="40" w:before="40"/>
              <w:jc w:val="left"/>
            </w:pPr>
            <w:r>
              <w:rPr>
                <w:b w:val="false"/>
                <w:bCs w:val="false"/>
                <w:color w:val="000000"/>
                <w:sz w:val="17"/>
                <w:szCs w:val="17"/>
              </w:rPr>
              <w:t xml:space="preserve">rectangular_passage</w:t>
            </w:r>
          </w:p>
        </w:tc>
        <w:tc>
          <w:tcPr>
            <w:tcW w:type="dxa" w:w="3350"/>
            <w:tcMar>
              <w:top w:type="dxa" w:w="40"/>
              <w:left w:type="dxa" w:w="100"/>
              <w:bottom w:type="dxa" w:w="40"/>
              <w:right w:type="dxa" w:w="100"/>
            </w:tcMar>
          </w:tcPr>
          <w:p>
            <w:pPr>
              <w:spacing w:after="40" w:before="40"/>
              <w:jc w:val="left"/>
            </w:pPr>
            <w:r>
              <w:rPr>
                <w:b w:val="false"/>
                <w:bCs w:val="false"/>
                <w:color w:val="000000"/>
                <w:sz w:val="17"/>
                <w:szCs w:val="17"/>
              </w:rPr>
              <w:t xml:space="preserve">rectangular_passage</w:t>
            </w:r>
          </w:p>
        </w:tc>
        <w:tc>
          <w:tcPr>
            <w:tcW w:type="dxa" w:w="1200"/>
            <w:tcMar>
              <w:top w:type="dxa" w:w="40"/>
              <w:left w:type="dxa" w:w="100"/>
              <w:bottom w:type="dxa" w:w="40"/>
              <w:right w:type="dxa" w:w="100"/>
            </w:tcMar>
          </w:tcPr>
          <w:p>
            <w:pPr>
              <w:spacing w:after="40" w:before="40"/>
              <w:jc w:val="center"/>
            </w:pPr>
            <w:r>
              <w:rPr>
                <w:b w:val="false"/>
                <w:bCs w:val="false"/>
                <w:color w:val="595959"/>
                <w:sz w:val="17"/>
                <w:szCs w:val="17"/>
              </w:rPr>
              <w:t xml:space="preserve">Correct</w:t>
            </w:r>
          </w:p>
        </w:tc>
      </w:tr>
      <w:tr>
        <w:tc>
          <w:tcPr>
            <w:tcW w:type="dxa" w:w="700"/>
            <w:tcMar>
              <w:top w:type="dxa" w:w="40"/>
              <w:left w:type="dxa" w:w="100"/>
              <w:bottom w:type="dxa" w:w="40"/>
              <w:right w:type="dxa" w:w="100"/>
            </w:tcMar>
          </w:tcPr>
          <w:p>
            <w:pPr>
              <w:spacing w:after="40" w:before="40"/>
              <w:jc w:val="center"/>
            </w:pPr>
            <w:r>
              <w:rPr>
                <w:b w:val="false"/>
                <w:bCs w:val="false"/>
                <w:color w:val="000000"/>
                <w:sz w:val="17"/>
                <w:szCs w:val="17"/>
              </w:rPr>
              <w:t xml:space="preserve">9</w:t>
            </w:r>
          </w:p>
        </w:tc>
        <w:tc>
          <w:tcPr>
            <w:tcW w:type="dxa" w:w="3350"/>
            <w:tcMar>
              <w:top w:type="dxa" w:w="40"/>
              <w:left w:type="dxa" w:w="100"/>
              <w:bottom w:type="dxa" w:w="40"/>
              <w:right w:type="dxa" w:w="100"/>
            </w:tcMar>
          </w:tcPr>
          <w:p>
            <w:pPr>
              <w:spacing w:after="40" w:before="40"/>
              <w:jc w:val="left"/>
            </w:pPr>
            <w:r>
              <w:rPr>
                <w:b w:val="false"/>
                <w:bCs w:val="false"/>
                <w:color w:val="000000"/>
                <w:sz w:val="17"/>
                <w:szCs w:val="17"/>
              </w:rPr>
              <w:t xml:space="preserve">rectangular_passage</w:t>
            </w:r>
          </w:p>
        </w:tc>
        <w:tc>
          <w:tcPr>
            <w:tcW w:type="dxa" w:w="3350"/>
            <w:tcMar>
              <w:top w:type="dxa" w:w="40"/>
              <w:left w:type="dxa" w:w="100"/>
              <w:bottom w:type="dxa" w:w="40"/>
              <w:right w:type="dxa" w:w="100"/>
            </w:tcMar>
          </w:tcPr>
          <w:p>
            <w:pPr>
              <w:spacing w:after="40" w:before="40"/>
              <w:jc w:val="left"/>
            </w:pPr>
            <w:r>
              <w:rPr>
                <w:b w:val="false"/>
                <w:bCs w:val="false"/>
                <w:color w:val="000000"/>
                <w:sz w:val="17"/>
                <w:szCs w:val="17"/>
              </w:rPr>
              <w:t xml:space="preserve">rectangular_passage</w:t>
            </w:r>
          </w:p>
        </w:tc>
        <w:tc>
          <w:tcPr>
            <w:tcW w:type="dxa" w:w="1200"/>
            <w:tcMar>
              <w:top w:type="dxa" w:w="40"/>
              <w:left w:type="dxa" w:w="100"/>
              <w:bottom w:type="dxa" w:w="40"/>
              <w:right w:type="dxa" w:w="100"/>
            </w:tcMar>
          </w:tcPr>
          <w:p>
            <w:pPr>
              <w:spacing w:after="40" w:before="40"/>
              <w:jc w:val="center"/>
            </w:pPr>
            <w:r>
              <w:rPr>
                <w:b w:val="false"/>
                <w:bCs w:val="false"/>
                <w:color w:val="595959"/>
                <w:sz w:val="17"/>
                <w:szCs w:val="17"/>
              </w:rPr>
              <w:t xml:space="preserve">Correct</w:t>
            </w:r>
          </w:p>
        </w:tc>
      </w:tr>
      <w:tr>
        <w:tc>
          <w:tcPr>
            <w:tcW w:type="dxa" w:w="700"/>
            <w:tcMar>
              <w:top w:type="dxa" w:w="40"/>
              <w:left w:type="dxa" w:w="100"/>
              <w:bottom w:type="dxa" w:w="40"/>
              <w:right w:type="dxa" w:w="100"/>
            </w:tcMar>
          </w:tcPr>
          <w:p>
            <w:pPr>
              <w:spacing w:after="40" w:before="40"/>
              <w:jc w:val="center"/>
            </w:pPr>
            <w:r>
              <w:rPr>
                <w:b w:val="false"/>
                <w:bCs w:val="false"/>
                <w:color w:val="000000"/>
                <w:sz w:val="17"/>
                <w:szCs w:val="17"/>
              </w:rPr>
              <w:t xml:space="preserve">10</w:t>
            </w:r>
          </w:p>
        </w:tc>
        <w:tc>
          <w:tcPr>
            <w:tcW w:type="dxa" w:w="3350"/>
            <w:tcMar>
              <w:top w:type="dxa" w:w="40"/>
              <w:left w:type="dxa" w:w="100"/>
              <w:bottom w:type="dxa" w:w="40"/>
              <w:right w:type="dxa" w:w="100"/>
            </w:tcMar>
          </w:tcPr>
          <w:p>
            <w:pPr>
              <w:spacing w:after="40" w:before="40"/>
              <w:jc w:val="left"/>
            </w:pPr>
            <w:r>
              <w:rPr>
                <w:b w:val="false"/>
                <w:bCs w:val="false"/>
                <w:color w:val="000000"/>
                <w:sz w:val="17"/>
                <w:szCs w:val="17"/>
              </w:rPr>
              <w:t xml:space="preserve">rectangular_passage</w:t>
            </w:r>
          </w:p>
        </w:tc>
        <w:tc>
          <w:tcPr>
            <w:tcW w:type="dxa" w:w="3350"/>
            <w:tcMar>
              <w:top w:type="dxa" w:w="40"/>
              <w:left w:type="dxa" w:w="100"/>
              <w:bottom w:type="dxa" w:w="40"/>
              <w:right w:type="dxa" w:w="100"/>
            </w:tcMar>
          </w:tcPr>
          <w:p>
            <w:pPr>
              <w:spacing w:after="40" w:before="40"/>
              <w:jc w:val="left"/>
            </w:pPr>
            <w:r>
              <w:rPr>
                <w:b w:val="false"/>
                <w:bCs w:val="false"/>
                <w:color w:val="000000"/>
                <w:sz w:val="17"/>
                <w:szCs w:val="17"/>
              </w:rPr>
              <w:t xml:space="preserve">rectangular_passage</w:t>
            </w:r>
          </w:p>
        </w:tc>
        <w:tc>
          <w:tcPr>
            <w:tcW w:type="dxa" w:w="1200"/>
            <w:tcMar>
              <w:top w:type="dxa" w:w="40"/>
              <w:left w:type="dxa" w:w="100"/>
              <w:bottom w:type="dxa" w:w="40"/>
              <w:right w:type="dxa" w:w="100"/>
            </w:tcMar>
          </w:tcPr>
          <w:p>
            <w:pPr>
              <w:spacing w:after="40" w:before="40"/>
              <w:jc w:val="center"/>
            </w:pPr>
            <w:r>
              <w:rPr>
                <w:b w:val="false"/>
                <w:bCs w:val="false"/>
                <w:color w:val="595959"/>
                <w:sz w:val="17"/>
                <w:szCs w:val="17"/>
              </w:rPr>
              <w:t xml:space="preserve">Correct</w:t>
            </w:r>
          </w:p>
        </w:tc>
      </w:tr>
      <w:tr>
        <w:tc>
          <w:tcPr>
            <w:tcW w:type="dxa" w:w="700"/>
            <w:tcMar>
              <w:top w:type="dxa" w:w="40"/>
              <w:left w:type="dxa" w:w="100"/>
              <w:bottom w:type="dxa" w:w="40"/>
              <w:right w:type="dxa" w:w="100"/>
            </w:tcMar>
          </w:tcPr>
          <w:p>
            <w:pPr>
              <w:spacing w:after="40" w:before="40"/>
              <w:jc w:val="center"/>
            </w:pPr>
            <w:r>
              <w:rPr>
                <w:b w:val="false"/>
                <w:bCs w:val="false"/>
                <w:color w:val="000000"/>
                <w:sz w:val="17"/>
                <w:szCs w:val="17"/>
              </w:rPr>
              <w:t xml:space="preserve">11</w:t>
            </w:r>
          </w:p>
        </w:tc>
        <w:tc>
          <w:tcPr>
            <w:tcW w:type="dxa" w:w="3350"/>
            <w:tcMar>
              <w:top w:type="dxa" w:w="40"/>
              <w:left w:type="dxa" w:w="100"/>
              <w:bottom w:type="dxa" w:w="40"/>
              <w:right w:type="dxa" w:w="100"/>
            </w:tcMar>
          </w:tcPr>
          <w:p>
            <w:pPr>
              <w:spacing w:after="40" w:before="40"/>
              <w:jc w:val="left"/>
            </w:pPr>
            <w:r>
              <w:rPr>
                <w:b w:val="false"/>
                <w:bCs w:val="false"/>
                <w:color w:val="000000"/>
                <w:sz w:val="17"/>
                <w:szCs w:val="17"/>
              </w:rPr>
              <w:t xml:space="preserve">rectangular_through_slot</w:t>
            </w:r>
          </w:p>
        </w:tc>
        <w:tc>
          <w:tcPr>
            <w:tcW w:type="dxa" w:w="3350"/>
            <w:tcMar>
              <w:top w:type="dxa" w:w="40"/>
              <w:left w:type="dxa" w:w="100"/>
              <w:bottom w:type="dxa" w:w="40"/>
              <w:right w:type="dxa" w:w="100"/>
            </w:tcMar>
          </w:tcPr>
          <w:p>
            <w:pPr>
              <w:spacing w:after="40" w:before="40"/>
              <w:jc w:val="left"/>
            </w:pPr>
            <w:r>
              <w:rPr>
                <w:b w:val="false"/>
                <w:bCs w:val="false"/>
                <w:color w:val="000000"/>
                <w:sz w:val="17"/>
                <w:szCs w:val="17"/>
              </w:rPr>
              <w:t xml:space="preserve">rectangular_through_slot</w:t>
            </w:r>
          </w:p>
        </w:tc>
        <w:tc>
          <w:tcPr>
            <w:tcW w:type="dxa" w:w="1200"/>
            <w:tcMar>
              <w:top w:type="dxa" w:w="40"/>
              <w:left w:type="dxa" w:w="100"/>
              <w:bottom w:type="dxa" w:w="40"/>
              <w:right w:type="dxa" w:w="100"/>
            </w:tcMar>
          </w:tcPr>
          <w:p>
            <w:pPr>
              <w:spacing w:after="40" w:before="40"/>
              <w:jc w:val="center"/>
            </w:pPr>
            <w:r>
              <w:rPr>
                <w:b w:val="false"/>
                <w:bCs w:val="false"/>
                <w:color w:val="595959"/>
                <w:sz w:val="17"/>
                <w:szCs w:val="17"/>
              </w:rPr>
              <w:t xml:space="preserve">Correct</w:t>
            </w:r>
          </w:p>
        </w:tc>
      </w:tr>
      <w:tr>
        <w:tc>
          <w:tcPr>
            <w:tcW w:type="dxa" w:w="700"/>
            <w:tcMar>
              <w:top w:type="dxa" w:w="40"/>
              <w:left w:type="dxa" w:w="100"/>
              <w:bottom w:type="dxa" w:w="40"/>
              <w:right w:type="dxa" w:w="100"/>
            </w:tcMar>
          </w:tcPr>
          <w:p>
            <w:pPr>
              <w:spacing w:after="40" w:before="40"/>
              <w:jc w:val="center"/>
            </w:pPr>
            <w:r>
              <w:rPr>
                <w:b w:val="false"/>
                <w:bCs w:val="false"/>
                <w:color w:val="000000"/>
                <w:sz w:val="17"/>
                <w:szCs w:val="17"/>
              </w:rPr>
              <w:t xml:space="preserve">12</w:t>
            </w:r>
          </w:p>
        </w:tc>
        <w:tc>
          <w:tcPr>
            <w:tcW w:type="dxa" w:w="3350"/>
            <w:tcMar>
              <w:top w:type="dxa" w:w="40"/>
              <w:left w:type="dxa" w:w="100"/>
              <w:bottom w:type="dxa" w:w="40"/>
              <w:right w:type="dxa" w:w="100"/>
            </w:tcMar>
          </w:tcPr>
          <w:p>
            <w:pPr>
              <w:spacing w:after="40" w:before="40"/>
              <w:jc w:val="left"/>
            </w:pPr>
            <w:r>
              <w:rPr>
                <w:b w:val="false"/>
                <w:bCs w:val="false"/>
                <w:color w:val="000000"/>
                <w:sz w:val="17"/>
                <w:szCs w:val="17"/>
              </w:rPr>
              <w:t xml:space="preserve">stock</w:t>
            </w:r>
          </w:p>
        </w:tc>
        <w:tc>
          <w:tcPr>
            <w:tcW w:type="dxa" w:w="3350"/>
            <w:tcMar>
              <w:top w:type="dxa" w:w="40"/>
              <w:left w:type="dxa" w:w="100"/>
              <w:bottom w:type="dxa" w:w="40"/>
              <w:right w:type="dxa" w:w="100"/>
            </w:tcMar>
          </w:tcPr>
          <w:p>
            <w:pPr>
              <w:spacing w:after="40" w:before="40"/>
              <w:jc w:val="left"/>
            </w:pPr>
            <w:r>
              <w:rPr>
                <w:b w:val="false"/>
                <w:bCs w:val="false"/>
                <w:color w:val="000000"/>
                <w:sz w:val="17"/>
                <w:szCs w:val="17"/>
              </w:rPr>
              <w:t xml:space="preserve">stock</w:t>
            </w:r>
          </w:p>
        </w:tc>
        <w:tc>
          <w:tcPr>
            <w:tcW w:type="dxa" w:w="1200"/>
            <w:tcMar>
              <w:top w:type="dxa" w:w="40"/>
              <w:left w:type="dxa" w:w="100"/>
              <w:bottom w:type="dxa" w:w="40"/>
              <w:right w:type="dxa" w:w="100"/>
            </w:tcMar>
          </w:tcPr>
          <w:p>
            <w:pPr>
              <w:spacing w:after="40" w:before="40"/>
              <w:jc w:val="center"/>
            </w:pPr>
            <w:r>
              <w:rPr>
                <w:b w:val="false"/>
                <w:bCs w:val="false"/>
                <w:color w:val="595959"/>
                <w:sz w:val="17"/>
                <w:szCs w:val="17"/>
              </w:rPr>
              <w:t xml:space="preserve">Correct</w:t>
            </w:r>
          </w:p>
        </w:tc>
      </w:tr>
    </w:tbl>
    <w:p>
      <w:pPr>
        <w:spacing w:after="100" w:before="200"/>
      </w:pPr>
      <w:r>
        <w:rPr>
          <w:sz w:val="20"/>
          <w:szCs w:val="20"/>
        </w:rPr>
        <w:t xml:space="preserve">Example 2: accuracy spot-checked across additional test parts, showing typical variation by part complexity.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78" w:val="clear"/>
            <w:tcMar>
              <w:top w:type="dxa" w:w="60"/>
              <w:left w:type="dxa" w:w="100"/>
              <w:bottom w:type="dxa" w:w="60"/>
              <w:right w:type="dxa" w:w="100"/>
            </w:tcMar>
          </w:tcPr>
          <w:p>
            <w:pPr>
              <w:spacing w:after="40" w:before="40"/>
              <w:jc w:val="left"/>
            </w:pPr>
            <w:r>
              <w:rPr>
                <w:b/>
                <w:bCs/>
                <w:color w:val="FFFFFF"/>
                <w:sz w:val="18"/>
                <w:szCs w:val="18"/>
              </w:rPr>
              <w:t xml:space="preserve">Test part</w:t>
            </w:r>
          </w:p>
        </w:tc>
        <w:tc>
          <w:tcPr>
            <w:tcW w:type="dxa" w:w="4500"/>
            <w:shd w:fill="1F4E78" w:val="clear"/>
            <w:tcMar>
              <w:top w:type="dxa" w:w="60"/>
              <w:left w:type="dxa" w:w="100"/>
              <w:bottom w:type="dxa" w:w="60"/>
              <w:right w:type="dxa" w:w="100"/>
            </w:tcMar>
          </w:tcPr>
          <w:p>
            <w:pPr>
              <w:spacing w:after="40" w:before="40"/>
              <w:jc w:val="left"/>
            </w:pPr>
            <w:r>
              <w:rPr>
                <w:b/>
                <w:bCs/>
                <w:color w:val="FFFFFF"/>
                <w:sz w:val="18"/>
                <w:szCs w:val="18"/>
              </w:rPr>
              <w:t xml:space="preserve">Face-level accuracy</w:t>
            </w:r>
          </w:p>
        </w:tc>
      </w:tr>
      <w:tr>
        <w:tc>
          <w:tcPr>
            <w:tcW w:type="dxa" w:w="4500"/>
            <w:tcMar>
              <w:top w:type="dxa" w:w="40"/>
              <w:left w:type="dxa" w:w="100"/>
              <w:bottom w:type="dxa" w:w="40"/>
              <w:right w:type="dxa" w:w="100"/>
            </w:tcMar>
          </w:tcPr>
          <w:p>
            <w:pPr>
              <w:spacing w:after="40" w:before="40"/>
              <w:jc w:val="left"/>
            </w:pPr>
            <w:r>
              <w:rPr>
                <w:b w:val="false"/>
                <w:bCs w:val="false"/>
                <w:color w:val="000000"/>
                <w:sz w:val="17"/>
                <w:szCs w:val="17"/>
              </w:rPr>
              <w:t xml:space="preserve">Test part 0-0-0-2-19</w:t>
            </w:r>
          </w:p>
        </w:tc>
        <w:tc>
          <w:tcPr>
            <w:tcW w:type="dxa" w:w="4500"/>
            <w:tcMar>
              <w:top w:type="dxa" w:w="40"/>
              <w:left w:type="dxa" w:w="100"/>
              <w:bottom w:type="dxa" w:w="40"/>
              <w:right w:type="dxa" w:w="100"/>
            </w:tcMar>
          </w:tcPr>
          <w:p>
            <w:pPr>
              <w:spacing w:after="40" w:before="40"/>
              <w:jc w:val="left"/>
            </w:pPr>
            <w:r>
              <w:rPr>
                <w:b w:val="false"/>
                <w:bCs w:val="false"/>
                <w:color w:val="000000"/>
                <w:sz w:val="17"/>
                <w:szCs w:val="17"/>
              </w:rPr>
              <w:t xml:space="preserve">76.9% (10 / 13 faces)</w:t>
            </w:r>
          </w:p>
        </w:tc>
      </w:tr>
      <w:tr>
        <w:tc>
          <w:tcPr>
            <w:tcW w:type="dxa" w:w="4500"/>
            <w:tcMar>
              <w:top w:type="dxa" w:w="40"/>
              <w:left w:type="dxa" w:w="100"/>
              <w:bottom w:type="dxa" w:w="40"/>
              <w:right w:type="dxa" w:w="100"/>
            </w:tcMar>
          </w:tcPr>
          <w:p>
            <w:pPr>
              <w:spacing w:after="40" w:before="40"/>
              <w:jc w:val="left"/>
            </w:pPr>
            <w:r>
              <w:rPr>
                <w:b w:val="false"/>
                <w:bCs w:val="false"/>
                <w:color w:val="000000"/>
                <w:sz w:val="17"/>
                <w:szCs w:val="17"/>
              </w:rPr>
              <w:t xml:space="preserve">Test part 0-0-2-7-7-23</w:t>
            </w:r>
          </w:p>
        </w:tc>
        <w:tc>
          <w:tcPr>
            <w:tcW w:type="dxa" w:w="4500"/>
            <w:tcMar>
              <w:top w:type="dxa" w:w="40"/>
              <w:left w:type="dxa" w:w="100"/>
              <w:bottom w:type="dxa" w:w="40"/>
              <w:right w:type="dxa" w:w="100"/>
            </w:tcMar>
          </w:tcPr>
          <w:p>
            <w:pPr>
              <w:spacing w:after="40" w:before="40"/>
              <w:jc w:val="left"/>
            </w:pPr>
            <w:r>
              <w:rPr>
                <w:b w:val="false"/>
                <w:bCs w:val="false"/>
                <w:color w:val="000000"/>
                <w:sz w:val="17"/>
                <w:szCs w:val="17"/>
              </w:rPr>
              <w:t xml:space="preserve">61.1% (11 / 18 faces)</w:t>
            </w:r>
          </w:p>
        </w:tc>
      </w:tr>
      <w:tr>
        <w:tc>
          <w:tcPr>
            <w:tcW w:type="dxa" w:w="4500"/>
            <w:tcMar>
              <w:top w:type="dxa" w:w="40"/>
              <w:left w:type="dxa" w:w="100"/>
              <w:bottom w:type="dxa" w:w="40"/>
              <w:right w:type="dxa" w:w="100"/>
            </w:tcMar>
          </w:tcPr>
          <w:p>
            <w:pPr>
              <w:spacing w:after="40" w:before="40"/>
              <w:jc w:val="left"/>
            </w:pPr>
            <w:r>
              <w:rPr>
                <w:b w:val="false"/>
                <w:bCs w:val="false"/>
                <w:color w:val="000000"/>
                <w:sz w:val="17"/>
                <w:szCs w:val="17"/>
              </w:rPr>
              <w:t xml:space="preserve">Test part 0-7-7-10-13-23</w:t>
            </w:r>
          </w:p>
        </w:tc>
        <w:tc>
          <w:tcPr>
            <w:tcW w:type="dxa" w:w="4500"/>
            <w:tcMar>
              <w:top w:type="dxa" w:w="40"/>
              <w:left w:type="dxa" w:w="100"/>
              <w:bottom w:type="dxa" w:w="40"/>
              <w:right w:type="dxa" w:w="100"/>
            </w:tcMar>
          </w:tcPr>
          <w:p>
            <w:pPr>
              <w:spacing w:after="40" w:before="40"/>
              <w:jc w:val="left"/>
            </w:pPr>
            <w:r>
              <w:rPr>
                <w:b w:val="false"/>
                <w:bCs w:val="false"/>
                <w:color w:val="000000"/>
                <w:sz w:val="17"/>
                <w:szCs w:val="17"/>
              </w:rPr>
              <w:t xml:space="preserve">40.0% (8 / 20 faces)</w:t>
            </w:r>
          </w:p>
        </w:tc>
      </w:tr>
    </w:tbl>
    <w:p>
      <w:pPr>
        <w:pStyle w:val="Heading1"/>
        <w:keepNext/>
        <w:spacing w:after="60" w:before="140"/>
      </w:pPr>
      <w:r>
        <w:rPr>
          <w:b/>
          <w:bCs/>
          <w:color w:val="1F4E78"/>
          <w:sz w:val="24"/>
          <w:szCs w:val="24"/>
        </w:rPr>
        <w:t xml:space="preserve">Known Limitations</w:t>
      </w:r>
    </w:p>
    <w:p>
      <w:pPr>
        <w:pStyle w:val="ListParagraph"/>
        <w:numPr>
          <w:ilvl w:val="0"/>
          <w:numId w:val="2"/>
        </w:numPr>
        <w:spacing w:after="40"/>
      </w:pPr>
      <w:r>
        <w:rPr>
          <w:sz w:val="19"/>
          <w:szCs w:val="19"/>
        </w:rPr>
        <w:t xml:space="preserve">Flags are indicative only: they are derived from recognized feature types, with no dimensional checks on depth, width or corner radius.</w:t>
      </w:r>
    </w:p>
    <w:p>
      <w:pPr>
        <w:pStyle w:val="ListParagraph"/>
        <w:numPr>
          <w:ilvl w:val="0"/>
          <w:numId w:val="2"/>
        </w:numPr>
        <w:spacing w:after="40"/>
      </w:pPr>
      <w:r>
        <w:rPr>
          <w:sz w:val="19"/>
          <w:szCs w:val="19"/>
        </w:rPr>
        <w:t xml:space="preserve">Flags fire sparsely on predictions, because a confidence threshold suppresses classes the model is less certain about.</w:t>
      </w:r>
    </w:p>
    <w:p>
      <w:pPr>
        <w:pStyle w:val="ListParagraph"/>
        <w:numPr>
          <w:ilvl w:val="0"/>
          <w:numId w:val="2"/>
        </w:numPr>
        <w:spacing w:after="40"/>
      </w:pPr>
      <w:r>
        <w:rPr>
          <w:sz w:val="19"/>
          <w:szCs w:val="19"/>
        </w:rPr>
        <w:t xml:space="preserve">The model was trained only on MFCAD parts. The feature extractor requires a single closed solid, and other geometry has not been tested.</w:t>
      </w:r>
    </w:p>
    <w:p>
      <w:pPr>
        <w:pStyle w:val="Heading1"/>
        <w:keepNext/>
        <w:spacing w:after="60" w:before="140"/>
      </w:pPr>
      <w:r>
        <w:rPr>
          <w:b/>
          <w:bCs/>
          <w:color w:val="1F4E78"/>
          <w:sz w:val="24"/>
          <w:szCs w:val="24"/>
        </w:rPr>
        <w:t xml:space="preserve">Value for Engineers</w:t>
      </w:r>
    </w:p>
    <w:p>
      <w:pPr>
        <w:pStyle w:val="ListParagraph"/>
        <w:numPr>
          <w:ilvl w:val="0"/>
          <w:numId w:val="2"/>
        </w:numPr>
        <w:spacing w:after="40"/>
      </w:pPr>
      <w:r>
        <w:rPr>
          <w:sz w:val="19"/>
          <w:szCs w:val="19"/>
        </w:rPr>
        <w:t xml:space="preserve">Automatically labels machining features on a CAD part without manual annotation, a foundational step for downstream manufacturability checks.</w:t>
      </w:r>
    </w:p>
    <w:p>
      <w:pPr>
        <w:pStyle w:val="ListParagraph"/>
        <w:numPr>
          <w:ilvl w:val="0"/>
          <w:numId w:val="2"/>
        </w:numPr>
        <w:spacing w:after="40"/>
      </w:pPr>
      <w:r>
        <w:rPr>
          <w:sz w:val="19"/>
          <w:szCs w:val="19"/>
        </w:rPr>
        <w:t xml:space="preserve">Paired with rule-based checks, recognized features already produce indicative design-for-manufacturability flags, such as blind features that need depth control or non-orthogonal features that complicate machining setup.</w:t>
      </w:r>
    </w:p>
    <w:p>
      <w:pPr>
        <w:pStyle w:val="ListParagraph"/>
        <w:numPr>
          <w:ilvl w:val="0"/>
          <w:numId w:val="2"/>
        </w:numPr>
        <w:spacing w:after="40"/>
      </w:pPr>
      <w:r>
        <w:rPr>
          <w:sz w:val="19"/>
          <w:szCs w:val="19"/>
        </w:rPr>
        <w:t xml:space="preserve">Reuses the same pretrained geometric backbone as the design-reuse project, so the technical investment compounds across use cases rather than starting over each time.</w:t>
      </w:r>
    </w:p>
    <w:p>
      <w:pPr>
        <w:pStyle w:val="ListParagraph"/>
        <w:numPr>
          <w:ilvl w:val="0"/>
          <w:numId w:val="2"/>
        </w:numPr>
        <w:spacing w:after="40"/>
      </w:pPr>
      <w:r>
        <w:rPr>
          <w:sz w:val="19"/>
          <w:szCs w:val="19"/>
        </w:rPr>
        <w:t xml:space="preserve">Trained and validated on real CAD geometry via the same STEP-based approach used across this GenAI-for-engineering-design effort, keeping it broadly portable across CAD systems.</w:t>
      </w:r>
    </w:p>
    <w:p>
      <w:pPr>
        <w:pStyle w:val="Heading1"/>
        <w:keepNext/>
        <w:spacing w:after="60" w:before="140"/>
      </w:pPr>
      <w:r>
        <w:rPr>
          <w:b/>
          <w:bCs/>
          <w:color w:val="1F4E78"/>
          <w:sz w:val="24"/>
          <w:szCs w:val="24"/>
        </w:rPr>
        <w:t xml:space="preserve">Next Steps</w:t>
      </w:r>
    </w:p>
    <w:p>
      <w:pPr>
        <w:pStyle w:val="ListParagraph"/>
        <w:numPr>
          <w:ilvl w:val="0"/>
          <w:numId w:val="2"/>
        </w:numPr>
        <w:spacing w:after="40"/>
      </w:pPr>
      <w:r>
        <w:rPr>
          <w:sz w:val="19"/>
          <w:szCs w:val="19"/>
        </w:rPr>
        <w:t xml:space="preserve">Add dimensional rules measured from the faces of each recognized feature, such as depth-to-width ratio and corner radius, to make flags quantitative.</w:t>
      </w:r>
    </w:p>
    <w:p>
      <w:pPr>
        <w:pStyle w:val="ListParagraph"/>
        <w:numPr>
          <w:ilvl w:val="0"/>
          <w:numId w:val="2"/>
        </w:numPr>
        <w:spacing w:after="40"/>
      </w:pPr>
      <w:r>
        <w:rPr>
          <w:sz w:val="19"/>
          <w:szCs w:val="19"/>
        </w:rPr>
        <w:t xml:space="preserve">Improve classification accuracy further, most likely by training on a larger portion of the available 15,488-part dataset and by fine-tuning part of the backbone rather than only the classification layer.</w:t>
      </w:r>
    </w:p>
    <w:p>
      <w:pPr>
        <w:pStyle w:val="ListParagraph"/>
        <w:numPr>
          <w:ilvl w:val="0"/>
          <w:numId w:val="2"/>
        </w:numPr>
        <w:spacing w:after="40"/>
      </w:pPr>
      <w:r>
        <w:rPr>
          <w:sz w:val="19"/>
          <w:szCs w:val="19"/>
        </w:rPr>
        <w:t xml:space="preserve">Use recognized features to filter or rank results in the related design similarity search.</w:t>
      </w:r>
    </w:p>
    <w:p>
      <w:pPr>
        <w:pStyle w:val="ListParagraph"/>
        <w:numPr>
          <w:ilvl w:val="0"/>
          <w:numId w:val="2"/>
        </w:numPr>
        <w:spacing w:after="40"/>
      </w:pPr>
      <w:r>
        <w:rPr>
          <w:sz w:val="19"/>
          <w:szCs w:val="19"/>
        </w:rPr>
        <w:t xml:space="preserve">Explore generating natural-language explanations of flagged manufacturability concerns, for a more accessible, conversational interface.</w:t>
      </w:r>
    </w:p>
    <w:p>
      <w:pPr>
        <w:pStyle w:val="ListParagraph"/>
        <w:numPr>
          <w:ilvl w:val="0"/>
          <w:numId w:val="2"/>
        </w:numPr>
        <w:spacing w:after="40"/>
      </w:pPr>
      <w:r>
        <w:rPr>
          <w:sz w:val="19"/>
          <w:szCs w:val="19"/>
        </w:rPr>
        <w:t xml:space="preserve">Assess feasibility on a specific client's CAD data and feature vocabulary.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2026-09-23T06:07:31.001Z</dcterms:created>
  <dcterms:modified xsi:type="dcterms:W3CDTF">2026-09-23T06:07:31.001Z</dcterms:modified>
</cp:coreProperties>
</file>

<file path=docProps/custom.xml><?xml version="1.0" encoding="utf-8"?>
<Properties xmlns="http://schemas.openxmlformats.org/officeDocument/2006/custom-properties" xmlns:vt="http://schemas.openxmlformats.org/officeDocument/2006/docPropsVTypes"/>
</file>