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>
        <w:rPr>
          <w:b w:val="1"/>
          <w:bCs w:val="1"/>
          <w:color w:val="1f4e78"/>
          <w:sz w:val="40"/>
          <w:szCs w:val="40"/>
          <w:rtl w:val="0"/>
        </w:rPr>
        <w:t xml:space="preserve">  CAD Design Similarity Search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>
        <w:rPr>
          <w:i w:val="1"/>
          <w:iCs w:val="1"/>
          <w:color w:val="595959"/>
          <w:sz w:val="24"/>
          <w:szCs w:val="24"/>
          <w:rtl w:val="0"/>
        </w:rPr>
        <w:t xml:space="preserve">A GenAI-Based Approach to Engineering Design Reuse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>
        <w:rPr>
          <w:color w:val="595959"/>
          <w:sz w:val="18"/>
          <w:szCs w:val="18"/>
          <w:rtl w:val="0"/>
        </w:rPr>
        <w:t xml:space="preserve">Vishal Prabu  |  October 2026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/>
        <w:spacing w:after="80" w:before="180" w:lineRule="auto"/>
        <w:rPr/>
      </w:pPr>
      <w:r>
        <w:rPr>
          <w:b w:val="1"/>
          <w:bCs w:val="1"/>
          <w:color w:val="1f4e78"/>
          <w:sz w:val="24"/>
          <w:szCs w:val="24"/>
          <w:rtl w:val="0"/>
        </w:rPr>
        <w:t xml:space="preserve">Project Overview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>
        <w:rPr>
          <w:rtl w:val="0"/>
        </w:rPr>
        <w:t xml:space="preserve">This project is a proof of concept demonstrating that, given a CAD part, an AI system can automatically retrieve the most structurally similar existing designs from a repository, without relying on filenames, folder structure, or manual search. It is a self-directed technical exploration aligned with the Industrials team's broader direction on applying GenAI to the engineering design lifecycle, built independently using open-source data and tools to establish feasibility ahead of any client-specific engagement. The proof of concept now also includes part size properties, an optional size filter, search with a newly supplied STEP file, and a simple web interface.</w:t>
      </w:r>
    </w:p>
    <w:p w:rsidR="00000000" w:rsidDel="00000000" w:rsidP="00000000" w:rsidRDefault="00000000" w:rsidRPr="00000000" w14:paraId="00000006">
      <w:pPr>
        <w:pStyle w:val="Heading1"/>
        <w:keepNext/>
        <w:spacing w:after="80" w:before="180" w:lineRule="auto"/>
        <w:rPr/>
      </w:pPr>
      <w:r>
        <w:rPr>
          <w:b w:val="1"/>
          <w:bCs w:val="1"/>
          <w:color w:val="1f4e78"/>
          <w:sz w:val="24"/>
          <w:szCs w:val="24"/>
          <w:rtl w:val="0"/>
        </w:rPr>
        <w:t xml:space="preserve">Objectives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 whether geometric deep learning can support a practical design-reuse and search capability for CAD repositories.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and validate an end-to-end proof of concept: CAD part in, ranked list of similar existing designs out.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reusable technical foundation (data pipeline, embedding generation, retrieval) that can extend to adjacent engineering-design use cases beyond reuse search.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the capability tangible through a simple interface that supports size-aware filtering and search with a newly supplied part.</w:t>
      </w:r>
    </w:p>
    <w:p w:rsidR="00000000" w:rsidDel="00000000" w:rsidP="00000000" w:rsidRDefault="00000000" w:rsidRPr="00000000" w14:paraId="0000000A">
      <w:pPr>
        <w:pStyle w:val="Heading1"/>
        <w:keepNext/>
        <w:spacing w:after="80" w:before="180" w:lineRule="auto"/>
        <w:rPr/>
      </w:pPr>
      <w:r>
        <w:rPr>
          <w:b w:val="1"/>
          <w:bCs w:val="1"/>
          <w:color w:val="1f4e78"/>
          <w:sz w:val="24"/>
          <w:szCs w:val="24"/>
          <w:rtl w:val="0"/>
        </w:rPr>
        <w:t xml:space="preserve">Why This Matters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>
        <w:rPr>
          <w:rtl w:val="0"/>
        </w:rPr>
        <w:t xml:space="preserve">Engineering teams frequently redesign components that closely resemble something already built, simply because there is no efficient way to search a design repository by shape or feature similarity rather than by filename or manual browsing. Unnecessary part duplication is a well-documented cost driver in manufacturing organizations, adding avoidable design, tooling, and inventory overhead. This capability directly targets that gap, and reflects the kind of design-reuse and validation problem increasingly relevant across engineering-heavy client accounts. This PoC proves the underlying technique works end-to-end on real CAD geometry, ahead of applying it to any specific client repository.</w:t>
      </w:r>
    </w:p>
    <w:p w:rsidR="00000000" w:rsidDel="00000000" w:rsidP="00000000" w:rsidRDefault="00000000" w:rsidRPr="00000000" w14:paraId="0000000C">
      <w:pPr>
        <w:pStyle w:val="Heading1"/>
        <w:keepNext/>
        <w:spacing w:after="80" w:before="180" w:lineRule="auto"/>
        <w:rPr/>
      </w:pPr>
      <w:r>
        <w:rPr>
          <w:b w:val="1"/>
          <w:bCs w:val="1"/>
          <w:color w:val="1f4e78"/>
          <w:sz w:val="24"/>
          <w:szCs w:val="24"/>
          <w:rtl w:val="0"/>
        </w:rPr>
        <w:t xml:space="preserve">Technical Approach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>
        <w:rPr>
          <w:rtl w:val="0"/>
        </w:rPr>
        <w:t xml:space="preserve">The pipeline combines three open-source components, each addressing one stage of turning a raw CAD file into a searchable, comparable representation: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Geometry parsing (OpenCascade / occwl): reads STEP files, the neutral CAD exchange format supported by virtually all major CAD systems, and extracts the underlying B-Rep topology, the exact faces, edges, and surface relationships that define the part.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Embedding generation (BRepNet): a pretrained deep learning model that operates directly on B-Rep topology, rather than approximating shapes as meshes or point clouds. It converts each design's geometry into a compact numeric “fingerprint” (84 numbers per part, averaged from per-face representations) capturing its structural and feature composition.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Similarity retrieval (FAISS): an open-source vector search library that indexes these fingerprints and, given a query part, returns the closest matches ranked by similarity distance. Exact (brute-force) search is used, which is sufficient at the current scale of 500 designs.</w:t>
      </w:r>
    </w:p>
    <w:p w:rsidR="00000000" w:rsidDel="00000000" w:rsidP="00000000" w:rsidRDefault="00000000" w:rsidRPr="00000000" w14:paraId="00000011">
      <w:pPr>
        <w:spacing w:after="100" w:lineRule="auto"/>
        <w:rPr/>
      </w:pPr>
      <w:r>
        <w:rPr>
          <w:rtl w:val="0"/>
        </w:rPr>
        <w:t xml:space="preserve">All components are open-source, and the pipeline operates on STEP files, making the underlying approach broadly portable across different clients' native CAD environments.</w:t>
      </w:r>
    </w:p>
    <w:p w:rsidR="00000000" w:rsidDel="00000000" w:rsidP="00000000" w:rsidRDefault="00000000" w:rsidRPr="00000000">
      <w:pPr>
        <w:spacing w:after="100" w:lineRule="auto"/>
        <w:rPr/>
      </w:pPr>
      <w:r>
        <w:rPr>
          <w:rtl w:val="0"/>
        </w:rPr>
        <w:t xml:space="preserve">BRepNet and occwl were written for older software versions. Running them on current Python, PyTorch and PyTorch Lightning required a small set of patches (API and checkpoint-loading changes, per-file error handling and a batch embedding script). occwl 3.0.0 is built from source because it is not published on PyPI. The patches are listed in the project reference deck.</w:t>
      </w:r>
    </w:p>
    <w:p w:rsidR="00000000" w:rsidDel="00000000" w:rsidP="00000000" w:rsidRDefault="00000000" w:rsidRPr="00000000">
      <w:pPr>
        <w:pStyle w:val="Heading1"/>
        <w:keepNext/>
        <w:spacing w:after="80" w:before="180" w:lineRule="auto"/>
        <w:rPr/>
      </w:pPr>
      <w:r>
        <w:rPr>
          <w:b w:val="1"/>
          <w:bCs w:val="1"/>
          <w:color w:val="1f4e78"/>
          <w:sz w:val="24"/>
          <w:szCs w:val="24"/>
          <w:rtl w:val="0"/>
        </w:rPr>
        <w:t xml:space="preserve">Capabilities</w:t>
      </w:r>
      <w:r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by an existing design or by a newly supplied STEP file. A new part is embedded with the same pipeline, and the index is not modified.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properties shown with every match: bounding-box size (largest to smallest, so orientation does not matter), volume, surface area and face count, computed with occwl.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Optional size filter: keeps only matches whose sorted bounding-box dimensions are each within a tolerance (default ±20%) of the query. The whole index is searched, and the survivors are ranked by similarity distance.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Simple web interface (Streamlit) combining the above, with thumbnails, distances and properties for the top five matches.</w:t>
      </w:r>
    </w:p>
    <w:p w:rsidR="00000000" w:rsidDel="00000000" w:rsidP="00000000" w:rsidRDefault="00000000" w:rsidRPr="00000000" w14:paraId="00000012">
      <w:pPr>
        <w:pStyle w:val="Heading1"/>
        <w:keepNext/>
        <w:spacing w:after="80" w:before="180" w:lineRule="auto"/>
        <w:rPr/>
      </w:pPr>
      <w:r>
        <w:rPr>
          <w:b w:val="1"/>
          <w:bCs w:val="1"/>
          <w:color w:val="1f4e78"/>
          <w:sz w:val="24"/>
          <w:szCs w:val="24"/>
          <w:rtl w:val="0"/>
        </w:rPr>
        <w:t xml:space="preserve">Results to Date</w:t>
      </w:r>
      <w:r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and validated the full pipeline end-to-end on 500 real mechanical CAD designs (Autodesk Fusion 360 Gallery dataset).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Retrieval correctly identifies structurally similar parts even when their exact dimensions differ substantially. See Examples 1 to 3 below.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Re-embedding designs that are already indexed reproduces the stored embeddings to within about 1e-7, confirming that index build and live queries are consistent.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size filter and new-part search work end-to-end.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Match quality for more geometrically complex parts is currently more mixed. Mean pooling of per-face representations is the suspected cause, but this has not yet been confirmed, and it is the immediate technical focus.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 results demonstrate feasibility; adapting this to a specific client's CAD repository would require validation against that client's own design and reuse criteria.</w:t>
      </w:r>
    </w:p>
    <w:p w:rsidR="00000000" w:rsidDel="00000000" w:rsidP="00000000" w:rsidRDefault="00000000" w:rsidRPr="00000000" w14:paraId="00000017">
      <w:pPr>
        <w:pStyle w:val="Heading1"/>
        <w:keepNext/>
        <w:spacing w:after="80" w:before="180" w:lineRule="auto"/>
        <w:rPr/>
      </w:pPr>
      <w:r>
        <w:rPr>
          <w:b w:val="1"/>
          <w:bCs w:val="1"/>
          <w:color w:val="1f4e78"/>
          <w:sz w:val="24"/>
          <w:szCs w:val="24"/>
          <w:rtl w:val="0"/>
        </w:rPr>
        <w:t xml:space="preserve">Example Retrieval Results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/>
        <w:spacing w:after="100" w:lineRule="auto"/>
        <w:rPr/>
      </w:pPr>
      <w:r>
        <w:rPr>
          <w:rtl w:val="0"/>
        </w:rPr>
        <w:t xml:space="preserve">Example 1: validated result</w:t>
      </w:r>
    </w:p>
    <w:tbl>
      <w:tblPr>
        <w:tblStyle w:val="Table1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60"/>
        <w:gridCol w:w="2960"/>
        <w:gridCol w:w="2960"/>
        <w:tblGridChange w:id="0">
          <w:tblGrid>
            <w:gridCol w:w="2960"/>
            <w:gridCol w:w="2960"/>
            <w:gridCol w:w="2960"/>
          </w:tblGrid>
        </w:tblGridChange>
      </w:tblGrid>
      <w:tr>
        <w:trPr>
          <w:cantSplit w:val="1"/>
          <w:tblHeader w:val="0"/>
        </w:trPr>
        <w:tc>
          <w:tcPr>
            <w:shd w:fill="1f4e7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keepNext/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Query Part</w:t>
            </w:r>
            <w:r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keepNext/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Match 1</w:t>
            </w:r>
            <w:r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keepNext/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Match 2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>
              <w:rPr/>
              <w:drawing>
                <wp:inline distB="0" distT="0" distL="0" distR="0">
                  <wp:extent cx="1000125" cy="1000125"/>
                  <wp:effectExtent b="0" l="0" r="0" t="0"/>
                  <wp:docPr id="208256550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60" w:lineRule="auto"/>
              <w:jc w:val="center"/>
              <w:rPr/>
            </w:pPr>
            <w:r>
              <w:rPr>
                <w:color w:val="595959"/>
                <w:sz w:val="17"/>
                <w:szCs w:val="17"/>
                <w:rtl w:val="0"/>
              </w:rPr>
              <w:t xml:space="preserve">Query design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>
              <w:rPr/>
              <w:drawing>
                <wp:inline distB="0" distT="0" distL="0" distR="0">
                  <wp:extent cx="1000125" cy="1000125"/>
                  <wp:effectExtent b="0" l="0" r="0" t="0"/>
                  <wp:docPr id="208256550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Distance: 0.0397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>
              <w:rPr/>
              <w:drawing>
                <wp:inline distB="0" distT="0" distL="0" distR="0">
                  <wp:extent cx="1000800" cy="1000800"/>
                  <wp:effectExtent b="0" l="0" r="0" t="0"/>
                  <wp:docPr id="208256550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100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Distance: 0.0630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after="100" w:before="100" w:lineRule="auto"/>
        <w:rPr/>
      </w:pPr>
      <w:r>
        <w:rPr>
          <w:color w:val="595959"/>
          <w:sz w:val="18"/>
          <w:szCs w:val="18"/>
          <w:rtl w:val="0"/>
        </w:rPr>
        <w:t xml:space="preserve">Match 1 in Example 1 is a thick bar (1100 × 75 × 75 mm) retrieved for a thin column (130 × 19 × 19 mm): feature composition matches, size does not. Distances are squared Euclidean values; smaller means closer.</w:t>
      </w:r>
    </w:p>
    <w:p w:rsidR="00000000" w:rsidDel="00000000" w:rsidP="00000000" w:rsidRDefault="00000000" w:rsidRPr="00000000" w14:paraId="00000022">
      <w:pPr>
        <w:keepNext/>
        <w:spacing w:after="100" w:before="240" w:lineRule="auto"/>
        <w:rPr/>
      </w:pPr>
      <w:r>
        <w:rPr>
          <w:sz w:val="21"/>
          <w:szCs w:val="21"/>
          <w:rtl w:val="0"/>
        </w:rPr>
        <w:t xml:space="preserve">Example 2:</w:t>
      </w:r>
      <w:r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60"/>
        <w:gridCol w:w="2960"/>
        <w:gridCol w:w="2960"/>
        <w:tblGridChange w:id="0">
          <w:tblGrid>
            <w:gridCol w:w="2960"/>
            <w:gridCol w:w="2960"/>
            <w:gridCol w:w="2960"/>
          </w:tblGrid>
        </w:tblGridChange>
      </w:tblGrid>
      <w:tr>
        <w:trPr>
          <w:cantSplit w:val="1"/>
          <w:tblHeader w:val="0"/>
        </w:trPr>
        <w:tc>
          <w:tcPr>
            <w:shd w:fill="1f4e7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keepNext/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Query Part</w:t>
            </w:r>
            <w:r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keepNext/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Match 1</w:t>
            </w:r>
            <w:r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keepNext/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Match 2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>
              <w:rPr/>
              <w:drawing>
                <wp:inline distB="0" distT="0" distL="0" distR="0">
                  <wp:extent cx="1000800" cy="1000800"/>
                  <wp:effectExtent b="0" l="0" r="0" t="0"/>
                  <wp:docPr id="208256550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100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before="60" w:lineRule="auto"/>
              <w:jc w:val="center"/>
              <w:rPr/>
            </w:pPr>
            <w:r>
              <w:rPr>
                <w:color w:val="595959"/>
                <w:sz w:val="17"/>
                <w:szCs w:val="17"/>
                <w:rtl w:val="0"/>
              </w:rPr>
              <w:t xml:space="preserve">Query design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>
              <w:rPr/>
              <w:drawing>
                <wp:inline distB="0" distT="0" distL="0" distR="0">
                  <wp:extent cx="1000800" cy="1000800"/>
                  <wp:effectExtent b="0" l="0" r="0" t="0"/>
                  <wp:docPr id="208256550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100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Distance: 0.2280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>
              <w:rPr/>
              <w:drawing>
                <wp:inline distB="0" distT="0" distL="0" distR="0">
                  <wp:extent cx="1000800" cy="1000800"/>
                  <wp:effectExtent b="0" l="0" r="0" t="0"/>
                  <wp:docPr id="208256549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100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Distance: 0.2484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/>
        <w:spacing w:after="100" w:before="240" w:lineRule="auto"/>
        <w:rPr/>
      </w:pPr>
      <w:r>
        <w:rPr>
          <w:sz w:val="21"/>
          <w:szCs w:val="21"/>
          <w:rtl w:val="0"/>
        </w:rPr>
        <w:t xml:space="preserve">Example 3:</w:t>
      </w:r>
      <w:r>
        <w:rPr>
          <w:rtl w:val="0"/>
        </w:rPr>
      </w:r>
    </w:p>
    <w:tbl>
      <w:tblPr>
        <w:tblStyle w:val="Table3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60"/>
        <w:gridCol w:w="2960"/>
        <w:gridCol w:w="2960"/>
        <w:tblGridChange w:id="0">
          <w:tblGrid>
            <w:gridCol w:w="2960"/>
            <w:gridCol w:w="2960"/>
            <w:gridCol w:w="2960"/>
          </w:tblGrid>
        </w:tblGridChange>
      </w:tblGrid>
      <w:tr>
        <w:trPr>
          <w:cantSplit w:val="1"/>
          <w:tblHeader w:val="0"/>
        </w:trPr>
        <w:tc>
          <w:tcPr>
            <w:shd w:fill="1f4e7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keepNext/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Query Part</w:t>
            </w:r>
            <w:r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keepNext/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Match 1</w:t>
            </w:r>
            <w:r>
              <w:rPr>
                <w:rtl w:val="0"/>
              </w:rPr>
            </w:r>
          </w:p>
        </w:tc>
        <w:tc>
          <w:tcPr>
            <w:shd w:fill="1f4e7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keepNext/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Match 2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>
              <w:rPr/>
              <w:drawing>
                <wp:inline distB="0" distT="0" distL="0" distR="0">
                  <wp:extent cx="1000800" cy="1000800"/>
                  <wp:effectExtent b="0" l="0" r="0" t="0"/>
                  <wp:docPr id="208256549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100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before="60" w:lineRule="auto"/>
              <w:jc w:val="center"/>
              <w:rPr/>
            </w:pPr>
            <w:r>
              <w:rPr>
                <w:color w:val="595959"/>
                <w:sz w:val="17"/>
                <w:szCs w:val="17"/>
                <w:rtl w:val="0"/>
              </w:rPr>
              <w:t xml:space="preserve">Query design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>
              <w:rPr/>
              <w:drawing>
                <wp:inline distB="0" distT="0" distL="0" distR="0">
                  <wp:extent cx="1000800" cy="1000800"/>
                  <wp:effectExtent b="0" l="0" r="0" t="0"/>
                  <wp:docPr id="208256550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100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Distance: 0.0333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>
              <w:rPr/>
              <w:drawing>
                <wp:inline distB="0" distT="0" distL="0" distR="0">
                  <wp:extent cx="1000800" cy="1000800"/>
                  <wp:effectExtent b="0" l="0" r="0" t="0"/>
                  <wp:docPr id="208256550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100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before="60" w:lineRule="auto"/>
              <w:jc w:val="center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Distance: 0.1201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keepNext/>
        <w:spacing w:after="80" w:before="180" w:lineRule="auto"/>
        <w:rPr>
          <w:b w:val="1"/>
          <w:bCs w:val="1"/>
          <w:color w:val="1f4e78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keepNext/>
        <w:spacing w:after="80" w:before="180" w:lineRule="auto"/>
        <w:rPr/>
      </w:pPr>
      <w:r>
        <w:rPr>
          <w:b w:val="1"/>
          <w:bCs w:val="1"/>
          <w:color w:val="1f4e78"/>
          <w:sz w:val="24"/>
          <w:szCs w:val="24"/>
          <w:rtl w:val="0"/>
        </w:rPr>
        <w:t xml:space="preserve">Known Limitations</w:t>
      </w:r>
      <w:r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Similarity reflects feature composition rather than size, so a thin column can match a thick bar. The size filter addresses this, but size-compatible matches are often far from the query in embedding space.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STEP file that loads but is malformed can still crash the embedding step. Unreadable files are detected and rejected before embedding.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index covers 500 designs from a dataset licensed for non-commercial research use only; client-facing or commercial use requires a separate licence review. A few designs are authored at extreme scales, so sizes are in model units (millimetres for most).</w:t>
      </w:r>
    </w:p>
    <w:p w:rsidR="00000000" w:rsidDel="00000000" w:rsidP="00000000" w:rsidRDefault="00000000" w:rsidRPr="00000000" w14:paraId="00000037">
      <w:pPr>
        <w:pStyle w:val="Heading1"/>
        <w:keepNext/>
        <w:spacing w:after="80" w:before="180" w:lineRule="auto"/>
        <w:rPr/>
      </w:pPr>
      <w:r>
        <w:rPr>
          <w:b w:val="1"/>
          <w:bCs w:val="1"/>
          <w:color w:val="1f4e78"/>
          <w:sz w:val="24"/>
          <w:szCs w:val="24"/>
          <w:rtl w:val="0"/>
        </w:rPr>
        <w:t xml:space="preserve">Value for Engineers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Lets engineers check for a reusable existing design before starting from scratch, shortening design cycles.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Searches by actual geometric and structural similarity, not filename, folder location, or tribal knowledge of who worked on something similar.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Format-agnostic foundation (STEP-based) makes the approach broadly applicable across clients' differing native CAD systems.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same technical building blocks extend naturally to adjacent problems, such as automated manufacturability screening, without starting over. A companion proof of concept on machining-feature recognition already reuses the same BRepNet backbone.</w:t>
      </w:r>
    </w:p>
    <w:p w:rsidR="00000000" w:rsidDel="00000000" w:rsidP="00000000" w:rsidRDefault="00000000" w:rsidRPr="00000000" w14:paraId="0000003C">
      <w:pPr>
        <w:pStyle w:val="Heading1"/>
        <w:keepNext/>
        <w:spacing w:after="80" w:before="180" w:lineRule="auto"/>
        <w:rPr/>
      </w:pPr>
      <w:r>
        <w:rPr>
          <w:b w:val="1"/>
          <w:bCs w:val="1"/>
          <w:color w:val="1f4e78"/>
          <w:sz w:val="24"/>
          <w:szCs w:val="24"/>
          <w:rtl w:val="0"/>
        </w:rPr>
        <w:t xml:space="preserve">Next Steps</w:t>
      </w:r>
      <w:r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Broaden validation across a larger and more complex sample of designs, with a labelled benchmark to quantify retrieval quality.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Investigate the weaker results on complex parts, including alternatives to mean pooling.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Keep the repository self-contained for handover: environment definition, patched third-party code and the patch list under version control.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the same technical foundation to other use cases, such as the companion manufacturability / feature screening proof of concept.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0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Assess what would be required to adapt this approach to a specific client's CAD data and repository.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D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4mtOnY/ByZS3Egnbee6tAWWnSQ==">CgMxLjA4AHIhMUZla3VGQkxsWlFVZmRQQnFoZzJsOUdxdnZIWjRrdkFN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2026-09-10T11:34:00Z</dcterms:created>
  <dc:creator>Un-named</dc:creator>
</cp:coreProperties>
</file>