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2B3A00">
      <w:pPr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抑制top模块：模型后处理优化——</w:t>
      </w:r>
      <w:r>
        <w:rPr>
          <w:b/>
          <w:bCs/>
          <w:sz w:val="24"/>
          <w:szCs w:val="24"/>
        </w:rPr>
        <w:t>在不改变模型参数的情况下，通过调整输出分数分布来提升零样本性能。</w:t>
      </w:r>
    </w:p>
    <w:p w14:paraId="4A3598E7">
      <w:pPr>
        <w:pStyle w:val="3"/>
        <w:textAlignment w:val="baseline"/>
        <w:rPr>
          <w:rFonts w:ascii="Consolas" w:hAnsi="Consolas"/>
          <w:color w:val="1A1A1A"/>
          <w:spacing w:val="8"/>
        </w:rPr>
      </w:pPr>
      <w:r>
        <w:rPr>
          <w:rFonts w:hint="eastAsia"/>
        </w:rPr>
        <w:t>利用</w:t>
      </w:r>
      <w:r>
        <w:rPr>
          <w:rFonts w:ascii="Consolas" w:hAnsi="Consolas"/>
          <w:color w:val="1A1A1A"/>
          <w:spacing w:val="8"/>
        </w:rPr>
        <w:t>suppression_map</w:t>
      </w:r>
      <w:r>
        <w:rPr>
          <w:rFonts w:hint="eastAsia" w:ascii="Consolas" w:hAnsi="Consolas"/>
          <w:color w:val="1A1A1A"/>
          <w:spacing w:val="8"/>
        </w:rPr>
        <w:t>对经过之前分析得出的最易被误认的部分seen类样本</w:t>
      </w:r>
      <w:r>
        <w:rPr>
          <w:rFonts w:ascii="Consolas" w:hAnsi="Consolas"/>
          <w:color w:val="1A1A1A"/>
          <w:spacing w:val="8"/>
        </w:rPr>
        <w:t>的分数进行抑制，</w:t>
      </w:r>
      <w:r>
        <w:rPr>
          <w:rFonts w:hint="eastAsia" w:ascii="Consolas" w:hAnsi="Consolas"/>
          <w:color w:val="1A1A1A"/>
          <w:spacing w:val="8"/>
        </w:rPr>
        <w:t>错误原因</w:t>
      </w:r>
      <w:r>
        <w:rPr>
          <w:rFonts w:ascii="Consolas" w:hAnsi="Consolas"/>
          <w:color w:val="1A1A1A"/>
          <w:spacing w:val="8"/>
        </w:rPr>
        <w:t>可能是这些类别容易过拟合或预测过于激进。</w:t>
      </w:r>
    </w:p>
    <w:p w14:paraId="1498EA65">
      <w:pPr>
        <w:pStyle w:val="3"/>
        <w:textAlignment w:val="baseline"/>
        <w:rPr>
          <w:rFonts w:ascii="Consolas" w:hAnsi="Consolas"/>
          <w:color w:val="1A1A1A"/>
          <w:spacing w:val="8"/>
        </w:rPr>
      </w:pPr>
      <w:r>
        <w:rPr>
          <w:rFonts w:hint="eastAsia" w:ascii="Consolas" w:hAnsi="Consolas"/>
          <w:color w:val="1A1A1A"/>
          <w:spacing w:val="8"/>
        </w:rPr>
        <w:t>示例：</w:t>
      </w:r>
      <w:r>
        <w:rPr>
          <w:rFonts w:ascii="Consolas" w:hAnsi="Consolas"/>
          <w:color w:val="70AD47" w:themeColor="accent6"/>
          <w:spacing w:val="8"/>
          <w:sz w:val="22"/>
          <w:szCs w:val="22"/>
          <w14:textFill>
            <w14:solidFill>
              <w14:schemeClr w14:val="accent6"/>
            </w14:solidFill>
          </w14:textFill>
        </w:rPr>
        <w:t>suppression_map = {162: 0.6, 277: 0.7, 380: 0.7}</w:t>
      </w:r>
    </w:p>
    <w:p w14:paraId="57DC644B">
      <w:pPr>
        <w:pStyle w:val="3"/>
        <w:textAlignment w:val="baseline"/>
        <w:rPr>
          <w:rFonts w:ascii="Consolas" w:hAnsi="Consolas"/>
          <w:color w:val="1A1A1A"/>
          <w:spacing w:val="8"/>
        </w:rPr>
      </w:pPr>
    </w:p>
    <w:p w14:paraId="40AC7CDB">
      <w:pPr>
        <w:pStyle w:val="3"/>
        <w:textAlignment w:val="baseline"/>
        <w:rPr>
          <w:rFonts w:ascii="Consolas" w:hAnsi="Consolas"/>
          <w:b/>
          <w:bCs/>
          <w:color w:val="1A1A1A"/>
          <w:spacing w:val="8"/>
        </w:rPr>
      </w:pPr>
      <w:r>
        <w:rPr>
          <w:rFonts w:hint="eastAsia" w:ascii="Consolas" w:hAnsi="Consolas"/>
          <w:b/>
          <w:bCs/>
          <w:color w:val="1A1A1A"/>
          <w:spacing w:val="8"/>
        </w:rPr>
        <w:t>核心策略：</w:t>
      </w:r>
    </w:p>
    <w:p w14:paraId="20AD3223">
      <w:pPr>
        <w:pStyle w:val="3"/>
        <w:textAlignment w:val="baseline"/>
        <w:rPr>
          <w:rFonts w:ascii="Consolas" w:hAnsi="Consolas"/>
          <w:color w:val="1A1A1A"/>
          <w:spacing w:val="8"/>
        </w:rPr>
      </w:pPr>
      <w:r>
        <w:rPr>
          <w:rFonts w:hint="eastAsia" w:ascii="Consolas" w:hAnsi="Consolas"/>
          <w:color w:val="1A1A1A"/>
          <w:spacing w:val="8"/>
        </w:rPr>
        <w:t>1</w:t>
      </w:r>
      <w:r>
        <w:rPr>
          <w:rFonts w:ascii="Consolas" w:hAnsi="Consolas"/>
          <w:color w:val="1A1A1A"/>
          <w:spacing w:val="8"/>
        </w:rPr>
        <w:t>.降低特定类别的分数（</w:t>
      </w:r>
      <w:r>
        <w:rPr>
          <w:rFonts w:hint="eastAsia" w:ascii="Consolas" w:hAnsi="Consolas"/>
          <w:color w:val="1A1A1A"/>
          <w:spacing w:val="8"/>
        </w:rPr>
        <w:t>解决偏见类问题</w:t>
      </w:r>
      <w:r>
        <w:rPr>
          <w:rFonts w:ascii="Consolas" w:hAnsi="Consolas"/>
          <w:color w:val="1A1A1A"/>
          <w:spacing w:val="8"/>
        </w:rPr>
        <w:t>）</w:t>
      </w:r>
      <w:r>
        <w:rPr>
          <w:rFonts w:hint="eastAsia" w:ascii="Consolas" w:hAnsi="Consolas"/>
          <w:color w:val="1A1A1A"/>
          <w:spacing w:val="8"/>
        </w:rPr>
        <w:t>。</w:t>
      </w:r>
    </w:p>
    <w:p w14:paraId="1DA1685D">
      <w:pPr>
        <w:pStyle w:val="3"/>
        <w:textAlignment w:val="baseline"/>
        <w:rPr>
          <w:rFonts w:ascii="Consolas" w:hAnsi="Consolas"/>
          <w:color w:val="1A1A1A"/>
          <w:spacing w:val="8"/>
        </w:rPr>
      </w:pPr>
      <w:r>
        <w:rPr>
          <w:rFonts w:hint="eastAsia" w:ascii="Consolas" w:hAnsi="Consolas"/>
          <w:color w:val="1A1A1A"/>
          <w:spacing w:val="8"/>
        </w:rPr>
        <w:t>2</w:t>
      </w:r>
      <w:r>
        <w:rPr>
          <w:rFonts w:ascii="Consolas" w:hAnsi="Consolas"/>
          <w:color w:val="1A1A1A"/>
          <w:spacing w:val="8"/>
        </w:rPr>
        <w:t>.给零样本类别分数加成，缓解偏见</w:t>
      </w:r>
      <w:r>
        <w:rPr>
          <w:rFonts w:hint="eastAsia" w:ascii="Consolas" w:hAnsi="Consolas"/>
          <w:color w:val="1A1A1A"/>
          <w:spacing w:val="8"/>
        </w:rPr>
        <w:t>。</w:t>
      </w:r>
    </w:p>
    <w:p w14:paraId="063FBCAA">
      <w:pPr>
        <w:pStyle w:val="3"/>
        <w:textAlignment w:val="baseline"/>
        <w:rPr>
          <w:rFonts w:ascii="Consolas" w:hAnsi="Consolas"/>
          <w:color w:val="1A1A1A"/>
          <w:spacing w:val="8"/>
        </w:rPr>
      </w:pPr>
    </w:p>
    <w:p w14:paraId="647B3602">
      <w:pPr>
        <w:pStyle w:val="3"/>
        <w:textAlignment w:val="baseline"/>
        <w:rPr>
          <w:rFonts w:ascii="Consolas" w:hAnsi="Consolas"/>
          <w:b/>
          <w:bCs/>
          <w:color w:val="1A1A1A"/>
          <w:spacing w:val="8"/>
        </w:rPr>
      </w:pPr>
      <w:r>
        <w:rPr>
          <w:rFonts w:hint="eastAsia" w:ascii="Consolas" w:hAnsi="Consolas"/>
          <w:b/>
          <w:bCs/>
          <w:color w:val="1A1A1A"/>
          <w:spacing w:val="8"/>
        </w:rPr>
        <w:t>核心代码：</w:t>
      </w:r>
    </w:p>
    <w:p w14:paraId="2210D20D">
      <w:pPr>
        <w:pStyle w:val="3"/>
        <w:textAlignment w:val="baseline"/>
        <w:rPr>
          <w:rFonts w:ascii="Consolas" w:hAnsi="Consolas"/>
          <w:color w:val="70AD47" w:themeColor="accent6"/>
          <w:spacing w:val="8"/>
          <w:sz w:val="21"/>
          <w:szCs w:val="21"/>
          <w14:textFill>
            <w14:solidFill>
              <w14:schemeClr w14:val="accent6"/>
            </w14:solidFill>
          </w14:textFill>
        </w:rPr>
      </w:pPr>
      <w:r>
        <w:rPr>
          <w:rFonts w:ascii="Consolas" w:hAnsi="Consolas"/>
          <w:color w:val="70AD47" w:themeColor="accent6"/>
          <w:spacing w:val="8"/>
          <w:sz w:val="21"/>
          <w:szCs w:val="21"/>
          <w14:textFill>
            <w14:solidFill>
              <w14:schemeClr w14:val="accent6"/>
            </w14:solidFill>
          </w14:textFill>
        </w:rPr>
        <w:t>if args.zs:  # 仅在零样本设置下启用</w:t>
      </w:r>
    </w:p>
    <w:p w14:paraId="7A56F0B8">
      <w:pPr>
        <w:pStyle w:val="3"/>
        <w:textAlignment w:val="baseline"/>
        <w:rPr>
          <w:rFonts w:ascii="Consolas" w:hAnsi="Consolas"/>
          <w:color w:val="70AD47" w:themeColor="accent6"/>
          <w:spacing w:val="8"/>
          <w:sz w:val="21"/>
          <w:szCs w:val="21"/>
          <w14:textFill>
            <w14:solidFill>
              <w14:schemeClr w14:val="accent6"/>
            </w14:solidFill>
          </w14:textFill>
        </w:rPr>
      </w:pPr>
      <w:r>
        <w:rPr>
          <w:rFonts w:ascii="Consolas" w:hAnsi="Consolas"/>
          <w:color w:val="70AD47" w:themeColor="accent6"/>
          <w:spacing w:val="8"/>
          <w:sz w:val="21"/>
          <w:szCs w:val="21"/>
          <w14:textFill>
            <w14:solidFill>
              <w14:schemeClr w14:val="accent6"/>
            </w14:solidFill>
          </w14:textFill>
        </w:rPr>
        <w:t xml:space="preserve">    # 策略1: 抑制过度自信的类别</w:t>
      </w:r>
    </w:p>
    <w:p w14:paraId="745DC54B">
      <w:pPr>
        <w:pStyle w:val="3"/>
        <w:textAlignment w:val="baseline"/>
        <w:rPr>
          <w:rFonts w:ascii="Consolas" w:hAnsi="Consolas"/>
          <w:color w:val="70AD47" w:themeColor="accent6"/>
          <w:spacing w:val="8"/>
          <w:sz w:val="21"/>
          <w:szCs w:val="21"/>
          <w14:textFill>
            <w14:solidFill>
              <w14:schemeClr w14:val="accent6"/>
            </w14:solidFill>
          </w14:textFill>
        </w:rPr>
      </w:pPr>
      <w:r>
        <w:rPr>
          <w:rFonts w:ascii="Consolas" w:hAnsi="Consolas"/>
          <w:color w:val="70AD47" w:themeColor="accent6"/>
          <w:spacing w:val="8"/>
          <w:sz w:val="21"/>
          <w:szCs w:val="21"/>
          <w14:textFill>
            <w14:solidFill>
              <w14:schemeClr w14:val="accent6"/>
            </w14:solidFill>
          </w14:textFill>
        </w:rPr>
        <w:t xml:space="preserve">    for b_id, f in suppression_map.items():</w:t>
      </w:r>
    </w:p>
    <w:p w14:paraId="1AA9D5F7">
      <w:pPr>
        <w:pStyle w:val="3"/>
        <w:textAlignment w:val="baseline"/>
        <w:rPr>
          <w:rFonts w:ascii="Consolas" w:hAnsi="Consolas"/>
          <w:color w:val="70AD47" w:themeColor="accent6"/>
          <w:spacing w:val="8"/>
          <w:sz w:val="21"/>
          <w:szCs w:val="21"/>
          <w14:textFill>
            <w14:solidFill>
              <w14:schemeClr w14:val="accent6"/>
            </w14:solidFill>
          </w14:textFill>
        </w:rPr>
      </w:pPr>
      <w:r>
        <w:rPr>
          <w:rFonts w:ascii="Consolas" w:hAnsi="Consolas"/>
          <w:color w:val="70AD47" w:themeColor="accent6"/>
          <w:spacing w:val="8"/>
          <w:sz w:val="21"/>
          <w:szCs w:val="21"/>
          <w14:textFill>
            <w14:solidFill>
              <w14:schemeClr w14:val="accent6"/>
            </w14:solidFill>
          </w14:textFill>
        </w:rPr>
        <w:t xml:space="preserve">        scores_opt[interactions == b_id] *= f  # 分数乘以抑制因子</w:t>
      </w:r>
    </w:p>
    <w:p w14:paraId="00821AAF">
      <w:pPr>
        <w:pStyle w:val="3"/>
        <w:textAlignment w:val="baseline"/>
        <w:rPr>
          <w:rFonts w:ascii="Consolas" w:hAnsi="Consolas"/>
          <w:color w:val="70AD47" w:themeColor="accent6"/>
          <w:spacing w:val="8"/>
          <w:sz w:val="21"/>
          <w:szCs w:val="21"/>
          <w14:textFill>
            <w14:solidFill>
              <w14:schemeClr w14:val="accent6"/>
            </w14:solidFill>
          </w14:textFill>
        </w:rPr>
      </w:pPr>
      <w:r>
        <w:rPr>
          <w:rFonts w:ascii="Consolas" w:hAnsi="Consolas"/>
          <w:color w:val="70AD47" w:themeColor="accent6"/>
          <w:spacing w:val="8"/>
          <w:sz w:val="21"/>
          <w:szCs w:val="21"/>
          <w14:textFill>
            <w14:solidFill>
              <w14:schemeClr w14:val="accent6"/>
            </w14:solidFill>
          </w14:textFill>
        </w:rPr>
        <w:t xml:space="preserve">    # 策略2: 给Unseen类别小幅提升</w:t>
      </w:r>
    </w:p>
    <w:p w14:paraId="1A4656A9">
      <w:pPr>
        <w:pStyle w:val="3"/>
        <w:textAlignment w:val="baseline"/>
        <w:rPr>
          <w:rFonts w:ascii="Consolas" w:hAnsi="Consolas"/>
          <w:color w:val="70AD47" w:themeColor="accent6"/>
          <w:spacing w:val="8"/>
          <w:sz w:val="21"/>
          <w:szCs w:val="21"/>
          <w14:textFill>
            <w14:solidFill>
              <w14:schemeClr w14:val="accent6"/>
            </w14:solidFill>
          </w14:textFill>
        </w:rPr>
      </w:pPr>
      <w:r>
        <w:rPr>
          <w:rFonts w:ascii="Consolas" w:hAnsi="Consolas"/>
          <w:color w:val="70AD47" w:themeColor="accent6"/>
          <w:spacing w:val="8"/>
          <w:sz w:val="21"/>
          <w:szCs w:val="21"/>
          <w14:textFill>
            <w14:solidFill>
              <w14:schemeClr w14:val="accent6"/>
            </w14:solidFill>
          </w14:textFill>
        </w:rPr>
        <w:t xml:space="preserve">    unseen_mask = torch.tensor([(idx.item() in unseen_ids) for idx in interactions])</w:t>
      </w:r>
    </w:p>
    <w:p w14:paraId="1438B176">
      <w:pPr>
        <w:pStyle w:val="3"/>
        <w:ind w:firstLine="480"/>
        <w:textAlignment w:val="baseline"/>
        <w:rPr>
          <w:rFonts w:ascii="Consolas" w:hAnsi="Consolas"/>
          <w:color w:val="70AD47" w:themeColor="accent6"/>
          <w:spacing w:val="8"/>
          <w:sz w:val="21"/>
          <w:szCs w:val="21"/>
          <w14:textFill>
            <w14:solidFill>
              <w14:schemeClr w14:val="accent6"/>
            </w14:solidFill>
          </w14:textFill>
        </w:rPr>
      </w:pPr>
      <w:r>
        <w:rPr>
          <w:rFonts w:ascii="Consolas" w:hAnsi="Consolas"/>
          <w:color w:val="70AD47" w:themeColor="accent6"/>
          <w:spacing w:val="8"/>
          <w:sz w:val="21"/>
          <w:szCs w:val="21"/>
          <w14:textFill>
            <w14:solidFill>
              <w14:schemeClr w14:val="accent6"/>
            </w14:solidFill>
          </w14:textFill>
        </w:rPr>
        <w:t xml:space="preserve">scores_opt[unseen_mask] *= 1.05 </w:t>
      </w:r>
    </w:p>
    <w:p w14:paraId="5162F0F9"/>
    <w:p w14:paraId="37A71DAF">
      <w:pPr>
        <w:rPr>
          <w:sz w:val="24"/>
          <w:szCs w:val="28"/>
        </w:rPr>
      </w:pPr>
      <w:r>
        <w:rPr>
          <w:sz w:val="24"/>
          <w:szCs w:val="28"/>
        </w:rPr>
        <w:t>labels相同</w:t>
      </w:r>
      <w:r>
        <w:rPr>
          <w:rFonts w:hint="eastAsia"/>
          <w:sz w:val="24"/>
          <w:szCs w:val="28"/>
        </w:rPr>
        <w:t>的设计确保评估</w:t>
      </w:r>
      <w:r>
        <w:rPr>
          <w:sz w:val="24"/>
          <w:szCs w:val="28"/>
        </w:rPr>
        <w:t>原始模型和优化模型</w:t>
      </w:r>
      <w:r>
        <w:rPr>
          <w:rFonts w:hint="eastAsia"/>
          <w:sz w:val="24"/>
          <w:szCs w:val="28"/>
        </w:rPr>
        <w:t>的分数是公平的。</w:t>
      </w:r>
    </w:p>
    <w:p w14:paraId="562615C5">
      <w:pPr>
        <w:widowControl/>
        <w:jc w:val="left"/>
        <w:rPr>
          <w:rFonts w:ascii="Consolas" w:hAnsi="Consolas"/>
          <w:color w:val="1A1A1A"/>
          <w:spacing w:val="8"/>
          <w:szCs w:val="21"/>
        </w:rPr>
      </w:pPr>
      <w:r>
        <w:rPr>
          <w:rFonts w:ascii="Consolas" w:hAnsi="Consolas"/>
          <w:color w:val="1A1A1A"/>
          <w:spacing w:val="8"/>
          <w:szCs w:val="21"/>
        </w:rPr>
        <w:br w:type="page"/>
      </w:r>
    </w:p>
    <w:p w14:paraId="5E2DB0CF">
      <w:pPr>
        <w:pStyle w:val="3"/>
        <w:textAlignment w:val="baseline"/>
        <w:rPr>
          <w:rFonts w:ascii="Consolas" w:hAnsi="Consolas"/>
          <w:color w:val="1A1A1A"/>
          <w:spacing w:val="8"/>
          <w:sz w:val="21"/>
          <w:szCs w:val="21"/>
        </w:rPr>
      </w:pPr>
    </w:p>
    <w:p w14:paraId="70990B53">
      <w:pPr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Semantic</w:t>
      </w:r>
      <w:r>
        <w:rPr>
          <w:b/>
          <w:bCs/>
          <w:sz w:val="24"/>
          <w:szCs w:val="28"/>
        </w:rPr>
        <w:t xml:space="preserve"> A</w:t>
      </w:r>
      <w:r>
        <w:rPr>
          <w:rFonts w:hint="eastAsia"/>
          <w:b/>
          <w:bCs/>
          <w:sz w:val="24"/>
          <w:szCs w:val="28"/>
        </w:rPr>
        <w:t>dapter模块：轻量级模块，微调文本特征，</w:t>
      </w:r>
      <w:r>
        <w:rPr>
          <w:b/>
          <w:bCs/>
          <w:sz w:val="24"/>
          <w:szCs w:val="28"/>
        </w:rPr>
        <w:t>CLIP 本身冻结不动</w:t>
      </w:r>
      <w:r>
        <w:rPr>
          <w:rFonts w:hint="eastAsia"/>
          <w:b/>
          <w:bCs/>
          <w:sz w:val="24"/>
          <w:szCs w:val="28"/>
        </w:rPr>
        <w:t>，以实现在保持预训练模型能力的同时，以最小成本实现下游任务适应。</w:t>
      </w:r>
    </w:p>
    <w:p w14:paraId="11D4A0D5">
      <w:pPr>
        <w:rPr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 xml:space="preserve">具体位置 </w:t>
      </w:r>
      <w:r>
        <w:rPr>
          <w:b/>
          <w:bCs/>
          <w:sz w:val="24"/>
          <w:szCs w:val="28"/>
        </w:rPr>
        <w:t xml:space="preserve"> </w:t>
      </w:r>
      <w:r>
        <w:rPr>
          <w:sz w:val="24"/>
          <w:szCs w:val="28"/>
        </w:rPr>
        <w:t>CLIP text encoder 之后，cosine similarity 之前</w:t>
      </w:r>
    </w:p>
    <w:p w14:paraId="2FA9963F">
      <w:pPr>
        <w:rPr>
          <w:rFonts w:cs="Segoe UI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核心结构</w:t>
      </w:r>
      <w:r>
        <w:rPr>
          <w:sz w:val="24"/>
          <w:szCs w:val="24"/>
        </w:rPr>
        <w:tab/>
      </w:r>
      <w:r>
        <w:rPr>
          <w:sz w:val="24"/>
          <w:szCs w:val="24"/>
        </w:rPr>
        <w:t>Bottleneck：压缩→处理→还原</w:t>
      </w:r>
      <w:r>
        <w:rPr>
          <w:rFonts w:hint="eastAsia"/>
          <w:sz w:val="24"/>
          <w:szCs w:val="24"/>
        </w:rPr>
        <w:t xml:space="preserve"> </w:t>
      </w:r>
      <w:r>
        <w:rPr>
          <w:rFonts w:cs="Segoe UI"/>
          <w:b/>
          <w:bCs/>
          <w:sz w:val="24"/>
          <w:szCs w:val="24"/>
        </w:rPr>
        <w:t>768 → 64 → 768</w:t>
      </w:r>
    </w:p>
    <w:p w14:paraId="17F5BD6A">
      <w:pPr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关键技巧</w:t>
      </w:r>
      <w:r>
        <w:rPr>
          <w:sz w:val="24"/>
          <w:szCs w:val="24"/>
        </w:rPr>
        <w:tab/>
      </w:r>
      <w:r>
        <w:rPr>
          <w:rFonts w:hint="eastAsia"/>
          <w:sz w:val="24"/>
          <w:szCs w:val="24"/>
        </w:rPr>
        <w:t>零初始化</w:t>
      </w:r>
      <w:r>
        <w:rPr>
          <w:sz w:val="24"/>
          <w:szCs w:val="24"/>
        </w:rPr>
        <w:t xml:space="preserve"> + 残差连接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b/>
          <w:bCs/>
          <w:sz w:val="24"/>
          <w:szCs w:val="24"/>
        </w:rPr>
        <w:t>输出</w:t>
      </w:r>
      <w:r>
        <w:rPr>
          <w:b/>
          <w:bCs/>
          <w:sz w:val="24"/>
          <w:szCs w:val="24"/>
        </w:rPr>
        <w:t xml:space="preserve"> = 原来的特征 + 学到的调整</w:t>
      </w:r>
      <w:r>
        <w:rPr>
          <w:rFonts w:hint="eastAsia"/>
          <w:b/>
          <w:bCs/>
          <w:sz w:val="24"/>
          <w:szCs w:val="24"/>
        </w:rPr>
        <w:t xml:space="preserve"> </w:t>
      </w:r>
    </w:p>
    <w:p w14:paraId="2E0A788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Bottleneck 残差结构</w:t>
      </w:r>
      <w:r>
        <w:rPr>
          <w:rFonts w:hint="eastAsia"/>
          <w:b/>
          <w:bCs/>
          <w:sz w:val="24"/>
          <w:szCs w:val="24"/>
        </w:rPr>
        <w:t xml:space="preserve"> </w:t>
      </w:r>
    </w:p>
    <w:p w14:paraId="297F0CC5">
      <w:pPr>
        <w:rPr>
          <w:rFonts w:ascii="Consolas" w:hAnsi="Consolas"/>
          <w:color w:val="0070C0"/>
          <w:spacing w:val="8"/>
          <w:szCs w:val="21"/>
        </w:rPr>
      </w:pPr>
      <w:r>
        <w:rPr>
          <w:rFonts w:hint="eastAsia" w:ascii="Consolas" w:hAnsi="Consolas"/>
          <w:color w:val="0070C0"/>
          <w:spacing w:val="8"/>
          <w:szCs w:val="21"/>
        </w:rPr>
        <w:t>输入</w:t>
      </w:r>
      <w:r>
        <w:rPr>
          <w:rFonts w:ascii="Consolas" w:hAnsi="Consolas"/>
          <w:color w:val="0070C0"/>
          <w:spacing w:val="8"/>
          <w:szCs w:val="21"/>
        </w:rPr>
        <w:t xml:space="preserve"> x (768-dim)</w:t>
      </w:r>
    </w:p>
    <w:p w14:paraId="0A19992B">
      <w:pPr>
        <w:rPr>
          <w:rFonts w:ascii="Consolas" w:hAnsi="Consolas"/>
          <w:color w:val="0070C0"/>
          <w:spacing w:val="8"/>
          <w:szCs w:val="21"/>
        </w:rPr>
      </w:pPr>
      <w:r>
        <w:rPr>
          <w:rFonts w:ascii="Consolas" w:hAnsi="Consolas"/>
          <w:color w:val="0070C0"/>
          <w:spacing w:val="8"/>
          <w:szCs w:val="21"/>
        </w:rPr>
        <w:t xml:space="preserve">    ├──→ [残差连接] ─────────────────────────┐</w:t>
      </w:r>
    </w:p>
    <w:p w14:paraId="1315B18F">
      <w:pPr>
        <w:rPr>
          <w:rFonts w:ascii="Consolas" w:hAnsi="Consolas"/>
          <w:color w:val="0070C0"/>
          <w:spacing w:val="8"/>
          <w:szCs w:val="21"/>
        </w:rPr>
      </w:pPr>
      <w:r>
        <w:rPr>
          <w:rFonts w:ascii="Consolas" w:hAnsi="Consolas"/>
          <w:color w:val="0070C0"/>
          <w:spacing w:val="8"/>
          <w:szCs w:val="21"/>
        </w:rPr>
        <w:t xml:space="preserve">    │                                         │</w:t>
      </w:r>
    </w:p>
    <w:p w14:paraId="4249717F">
      <w:pPr>
        <w:rPr>
          <w:rFonts w:ascii="Consolas" w:hAnsi="Consolas"/>
          <w:color w:val="0070C0"/>
          <w:spacing w:val="8"/>
          <w:szCs w:val="21"/>
        </w:rPr>
      </w:pPr>
      <w:r>
        <w:rPr>
          <w:rFonts w:ascii="Consolas" w:hAnsi="Consolas"/>
          <w:color w:val="0070C0"/>
          <w:spacing w:val="8"/>
          <w:szCs w:val="21"/>
        </w:rPr>
        <w:t xml:space="preserve">    ↓                                         │</w:t>
      </w:r>
    </w:p>
    <w:p w14:paraId="1693F7F8">
      <w:pPr>
        <w:rPr>
          <w:rFonts w:ascii="Consolas" w:hAnsi="Consolas"/>
          <w:color w:val="0070C0"/>
          <w:spacing w:val="8"/>
          <w:szCs w:val="21"/>
        </w:rPr>
      </w:pPr>
      <w:r>
        <w:rPr>
          <w:rFonts w:ascii="Consolas" w:hAnsi="Consolas"/>
          <w:color w:val="0070C0"/>
          <w:spacing w:val="8"/>
          <w:szCs w:val="21"/>
        </w:rPr>
        <w:t>[LayerNorm]                                   │</w:t>
      </w:r>
    </w:p>
    <w:p w14:paraId="459CAEF9">
      <w:pPr>
        <w:rPr>
          <w:rFonts w:ascii="Consolas" w:hAnsi="Consolas"/>
          <w:color w:val="0070C0"/>
          <w:spacing w:val="8"/>
          <w:szCs w:val="21"/>
        </w:rPr>
      </w:pPr>
      <w:r>
        <w:rPr>
          <w:rFonts w:ascii="Consolas" w:hAnsi="Consolas"/>
          <w:color w:val="0070C0"/>
          <w:spacing w:val="8"/>
          <w:szCs w:val="21"/>
        </w:rPr>
        <w:t xml:space="preserve">    ↓                                         │</w:t>
      </w:r>
    </w:p>
    <w:p w14:paraId="26F1640B">
      <w:pPr>
        <w:rPr>
          <w:rFonts w:ascii="Consolas" w:hAnsi="Consolas"/>
          <w:color w:val="0070C0"/>
          <w:spacing w:val="8"/>
          <w:szCs w:val="21"/>
        </w:rPr>
      </w:pPr>
      <w:r>
        <w:rPr>
          <w:rFonts w:ascii="Consolas" w:hAnsi="Consolas"/>
          <w:color w:val="0070C0"/>
          <w:spacing w:val="8"/>
          <w:szCs w:val="21"/>
        </w:rPr>
        <w:t>[Down-proj] 768 → 64 (bottleneck)             │</w:t>
      </w:r>
    </w:p>
    <w:p w14:paraId="1597CED1">
      <w:pPr>
        <w:rPr>
          <w:rFonts w:ascii="Consolas" w:hAnsi="Consolas"/>
          <w:color w:val="0070C0"/>
          <w:spacing w:val="8"/>
          <w:szCs w:val="21"/>
        </w:rPr>
      </w:pPr>
      <w:r>
        <w:rPr>
          <w:rFonts w:ascii="Consolas" w:hAnsi="Consolas"/>
          <w:color w:val="0070C0"/>
          <w:spacing w:val="8"/>
          <w:szCs w:val="21"/>
        </w:rPr>
        <w:t xml:space="preserve">    ↓                                         │</w:t>
      </w:r>
    </w:p>
    <w:p w14:paraId="7BE5F313">
      <w:pPr>
        <w:rPr>
          <w:rFonts w:ascii="Consolas" w:hAnsi="Consolas"/>
          <w:color w:val="0070C0"/>
          <w:spacing w:val="8"/>
          <w:szCs w:val="21"/>
        </w:rPr>
      </w:pPr>
      <w:r>
        <w:rPr>
          <w:rFonts w:ascii="Consolas" w:hAnsi="Consolas"/>
          <w:color w:val="0070C0"/>
          <w:spacing w:val="8"/>
          <w:szCs w:val="21"/>
        </w:rPr>
        <w:t>[GELU Activation]                             │</w:t>
      </w:r>
    </w:p>
    <w:p w14:paraId="3FAB2739">
      <w:pPr>
        <w:rPr>
          <w:rFonts w:ascii="Consolas" w:hAnsi="Consolas"/>
          <w:color w:val="0070C0"/>
          <w:spacing w:val="8"/>
          <w:szCs w:val="21"/>
        </w:rPr>
      </w:pPr>
      <w:r>
        <w:rPr>
          <w:rFonts w:ascii="Consolas" w:hAnsi="Consolas"/>
          <w:color w:val="0070C0"/>
          <w:spacing w:val="8"/>
          <w:szCs w:val="21"/>
        </w:rPr>
        <w:t xml:space="preserve">    ↓                                         │</w:t>
      </w:r>
    </w:p>
    <w:p w14:paraId="240C9159">
      <w:pPr>
        <w:rPr>
          <w:rFonts w:ascii="Consolas" w:hAnsi="Consolas"/>
          <w:color w:val="0070C0"/>
          <w:spacing w:val="8"/>
          <w:szCs w:val="21"/>
        </w:rPr>
      </w:pPr>
      <w:r>
        <w:rPr>
          <w:rFonts w:ascii="Consolas" w:hAnsi="Consolas"/>
          <w:color w:val="0070C0"/>
          <w:spacing w:val="8"/>
          <w:szCs w:val="21"/>
        </w:rPr>
        <w:t>[Up-proj] 64 → 768                            │</w:t>
      </w:r>
    </w:p>
    <w:p w14:paraId="1130BC6E">
      <w:pPr>
        <w:rPr>
          <w:rFonts w:ascii="Consolas" w:hAnsi="Consolas"/>
          <w:color w:val="0070C0"/>
          <w:spacing w:val="8"/>
          <w:szCs w:val="21"/>
        </w:rPr>
      </w:pPr>
      <w:r>
        <w:rPr>
          <w:rFonts w:ascii="Consolas" w:hAnsi="Consolas"/>
          <w:color w:val="0070C0"/>
          <w:spacing w:val="8"/>
          <w:szCs w:val="21"/>
        </w:rPr>
        <w:t xml:space="preserve">    │                                         │</w:t>
      </w:r>
    </w:p>
    <w:p w14:paraId="15B98B2D">
      <w:pPr>
        <w:rPr>
          <w:rFonts w:ascii="Consolas" w:hAnsi="Consolas"/>
          <w:color w:val="0070C0"/>
          <w:spacing w:val="8"/>
          <w:szCs w:val="21"/>
        </w:rPr>
      </w:pPr>
      <w:r>
        <w:rPr>
          <w:rFonts w:ascii="Consolas" w:hAnsi="Consolas"/>
          <w:color w:val="0070C0"/>
          <w:spacing w:val="8"/>
          <w:szCs w:val="21"/>
        </w:rPr>
        <w:t xml:space="preserve">    └────────→ [逐元素相加] ←─────────────────┘</w:t>
      </w:r>
    </w:p>
    <w:p w14:paraId="0A1CEE34">
      <w:pPr>
        <w:rPr>
          <w:rFonts w:ascii="Consolas" w:hAnsi="Consolas"/>
          <w:color w:val="0070C0"/>
          <w:spacing w:val="8"/>
          <w:szCs w:val="21"/>
        </w:rPr>
      </w:pPr>
      <w:r>
        <w:rPr>
          <w:rFonts w:ascii="Consolas" w:hAnsi="Consolas"/>
          <w:color w:val="0070C0"/>
          <w:spacing w:val="8"/>
          <w:szCs w:val="21"/>
        </w:rPr>
        <w:t xml:space="preserve">                    ↓</w:t>
      </w:r>
    </w:p>
    <w:p w14:paraId="1DE414E6">
      <w:pPr>
        <w:rPr>
          <w:rFonts w:ascii="Consolas" w:hAnsi="Consolas"/>
          <w:color w:val="0070C0"/>
          <w:spacing w:val="8"/>
          <w:szCs w:val="21"/>
        </w:rPr>
      </w:pPr>
      <w:r>
        <w:rPr>
          <w:rFonts w:ascii="Consolas" w:hAnsi="Consolas"/>
          <w:color w:val="0070C0"/>
          <w:spacing w:val="8"/>
          <w:szCs w:val="21"/>
        </w:rPr>
        <w:t xml:space="preserve">              输出 (768-dim)</w:t>
      </w:r>
    </w:p>
    <w:p w14:paraId="566A93AA">
      <w:pPr>
        <w:rPr>
          <w:rFonts w:ascii="Consolas" w:hAnsi="Consolas"/>
          <w:color w:val="0070C0"/>
          <w:spacing w:val="8"/>
          <w:szCs w:val="21"/>
        </w:rPr>
      </w:pPr>
      <w:r>
        <w:rPr>
          <w:rFonts w:ascii="Consolas" w:hAnsi="Consolas"/>
          <w:color w:val="0070C0"/>
          <w:spacing w:val="8"/>
          <w:szCs w:val="21"/>
        </w:rPr>
        <w:br w:type="page"/>
      </w:r>
      <w:bookmarkStart w:id="0" w:name="_GoBack"/>
      <w:bookmarkEnd w:id="0"/>
    </w:p>
    <w:p w14:paraId="2FF39D9C">
      <w:pPr>
        <w:numPr>
          <w:ilvl w:val="0"/>
          <w:numId w:val="1"/>
        </w:numPr>
        <w:bidi w:val="0"/>
        <w:rPr>
          <w:sz w:val="28"/>
          <w:szCs w:val="36"/>
        </w:rPr>
      </w:pPr>
      <w:r>
        <w:rPr>
          <w:sz w:val="28"/>
          <w:szCs w:val="36"/>
        </w:rPr>
        <w:t>LoRA 低秩</w:t>
      </w:r>
    </w:p>
    <w:p w14:paraId="5A1EC6C9">
      <w:pPr>
        <w:numPr>
          <w:ilvl w:val="0"/>
          <w:numId w:val="0"/>
        </w:numPr>
        <w:bidi w:val="0"/>
      </w:pPr>
      <w:r>
        <w:t>1 核心公式</w:t>
      </w:r>
    </w:p>
    <w:p w14:paraId="1FCB91C4">
      <w:pPr>
        <w:numPr>
          <w:ilvl w:val="0"/>
          <w:numId w:val="0"/>
        </w:numPr>
        <w:bidi w:val="0"/>
      </w:pPr>
      <w:r>
        <w:rPr>
          <w:lang w:val="en-US" w:eastAsia="zh-CN"/>
        </w:rPr>
        <w:t>低秩线性层的前向计算严格遵循 LoRA 论文设计：</w:t>
      </w:r>
    </w:p>
    <w:p w14:paraId="0C5E85A9">
      <w:pPr>
        <w:numPr>
          <w:ilvl w:val="0"/>
          <w:numId w:val="0"/>
        </w:numPr>
        <w:bidi w:val="0"/>
      </w:pPr>
      <m:oMathPara>
        <m:oMath>
          <m:r>
            <m:rPr>
              <m:sty m:val="p"/>
            </m:rPr>
            <w:rPr>
              <w:rFonts w:ascii="Cambria Math" w:hAnsi="Cambria Math" w:cstheme="minorBidi"/>
              <w:kern w:val="2"/>
              <w:sz w:val="21"/>
              <w:szCs w:val="24"/>
              <w:lang w:val="en-US" w:eastAsia="zh-CN" w:bidi="ar-SA"/>
            </w:rPr>
            <m:t>y=</m:t>
          </m:r>
          <m:sSub>
            <m:sSubPr>
              <m:ctrlPr>
                <w:rPr>
                  <w:rFonts w:ascii="Cambria Math" w:hAnsi="Cambria Math" w:cstheme="minorBidi"/>
                  <w:kern w:val="2"/>
                  <w:sz w:val="21"/>
                  <w:szCs w:val="24"/>
                  <w:lang w:val="en-US" w:eastAsia="zh-CN" w:bidi="ar-SA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theme="minorBidi"/>
                  <w:kern w:val="2"/>
                  <w:sz w:val="21"/>
                  <w:szCs w:val="24"/>
                  <w:lang w:val="en-US" w:eastAsia="zh-CN" w:bidi="ar-SA"/>
                </w:rPr>
                <m:t>W</m:t>
              </m:r>
              <m:ctrlPr>
                <w:rPr>
                  <w:rFonts w:ascii="Cambria Math" w:hAnsi="Cambria Math" w:cstheme="minorBidi"/>
                  <w:kern w:val="2"/>
                  <w:sz w:val="21"/>
                  <w:szCs w:val="24"/>
                  <w:lang w:val="en-US" w:eastAsia="zh-CN" w:bidi="ar-SA"/>
                </w:rPr>
              </m:ctrlPr>
            </m:e>
            <m:sub>
              <m:r>
                <m:rPr>
                  <m:sty m:val="p"/>
                </m:rPr>
                <w:rPr>
                  <w:rFonts w:ascii="Cambria Math" w:hAnsi="Cambria Math" w:cstheme="minorBidi"/>
                  <w:kern w:val="2"/>
                  <w:sz w:val="21"/>
                  <w:szCs w:val="24"/>
                  <w:lang w:val="en-US" w:eastAsia="zh-CN" w:bidi="ar-SA"/>
                </w:rPr>
                <m:t>pretrain</m:t>
              </m:r>
              <m:ctrlPr>
                <w:rPr>
                  <w:rFonts w:ascii="Cambria Math" w:hAnsi="Cambria Math" w:cstheme="minorBidi"/>
                  <w:kern w:val="2"/>
                  <w:sz w:val="21"/>
                  <w:szCs w:val="24"/>
                  <w:lang w:val="en-US" w:eastAsia="zh-CN" w:bidi="ar-SA"/>
                </w:rPr>
              </m:ctrlPr>
            </m:sub>
          </m:sSub>
          <m:r>
            <m:rPr>
              <m:sty m:val="p"/>
            </m:rPr>
            <w:rPr>
              <w:rFonts w:ascii="Cambria Math" w:hAnsi="Cambria Math" w:cstheme="minorBidi"/>
              <w:kern w:val="2"/>
              <w:sz w:val="21"/>
              <w:szCs w:val="24"/>
              <w:lang w:val="en-US" w:eastAsia="zh-CN" w:bidi="ar-SA"/>
            </w:rPr>
            <m:t>x+b+(x⋅A⋅B)⋅</m:t>
          </m:r>
          <m:f>
            <m:fPr>
              <m:ctrlPr>
                <w:rPr>
                  <w:rFonts w:ascii="Cambria Math" w:hAnsi="Cambria Math" w:cstheme="minorBidi"/>
                  <w:kern w:val="2"/>
                  <w:sz w:val="21"/>
                  <w:szCs w:val="24"/>
                  <w:lang w:val="en-US" w:eastAsia="zh-CN" w:bidi="ar-SA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Bidi"/>
                  <w:kern w:val="2"/>
                  <w:sz w:val="21"/>
                  <w:szCs w:val="24"/>
                  <w:lang w:val="en-US" w:eastAsia="zh-CN" w:bidi="ar-SA"/>
                </w:rPr>
                <m:t>α</m:t>
              </m:r>
              <m:ctrlPr>
                <w:rPr>
                  <w:rFonts w:ascii="Cambria Math" w:hAnsi="Cambria Math" w:cstheme="minorBidi"/>
                  <w:kern w:val="2"/>
                  <w:sz w:val="21"/>
                  <w:szCs w:val="24"/>
                  <w:lang w:val="en-US" w:eastAsia="zh-CN" w:bidi="ar-SA"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 w:cstheme="minorBidi"/>
                  <w:kern w:val="2"/>
                  <w:sz w:val="21"/>
                  <w:szCs w:val="24"/>
                  <w:lang w:val="en-US" w:eastAsia="zh-CN" w:bidi="ar-SA"/>
                </w:rPr>
                <m:t>r</m:t>
              </m:r>
              <m:ctrlPr>
                <w:rPr>
                  <w:rFonts w:ascii="Cambria Math" w:hAnsi="Cambria Math" w:cstheme="minorBidi"/>
                  <w:kern w:val="2"/>
                  <w:sz w:val="21"/>
                  <w:szCs w:val="24"/>
                  <w:lang w:val="en-US" w:eastAsia="zh-CN" w:bidi="ar-SA"/>
                </w:rPr>
              </m:ctrlPr>
            </m:den>
          </m:f>
          <m:r>
            <m:rPr>
              <m:sty m:val="p"/>
            </m:rPr>
            <w:rPr>
              <w:rFonts w:ascii="Cambria Math" w:hAnsi="Cambria Math" w:cstheme="minorBidi"/>
              <w:kern w:val="2"/>
              <w:sz w:val="21"/>
              <w:szCs w:val="24"/>
              <w:lang w:val="en-US" w:eastAsia="zh-CN" w:bidi="ar-SA"/>
            </w:rPr>
            <m:t>​</m:t>
          </m:r>
        </m:oMath>
      </m:oMathPara>
    </w:p>
    <w:p w14:paraId="08D93578">
      <w:pPr>
        <w:numPr>
          <w:ilvl w:val="0"/>
          <w:numId w:val="0"/>
        </w:numPr>
        <w:bidi w:val="0"/>
      </w:pPr>
      <w:r>
        <w:t>W</w:t>
      </w:r>
      <w:r>
        <w:rPr>
          <w:vertAlign w:val="subscript"/>
        </w:rPr>
        <w:t>pretrain</w:t>
      </w:r>
      <w:r>
        <w:t>​∈R</w:t>
      </w:r>
      <w:r>
        <w:rPr>
          <w:vertAlign w:val="superscript"/>
        </w:rPr>
        <w:t>out×in</w:t>
      </w:r>
      <w:r>
        <w:t>：预训练权重（requires_grad=False，冻结）；</w:t>
      </w:r>
    </w:p>
    <w:p w14:paraId="32DDC327">
      <w:pPr>
        <w:numPr>
          <w:ilvl w:val="0"/>
          <w:numId w:val="0"/>
        </w:numPr>
        <w:bidi w:val="0"/>
      </w:pPr>
      <w:r>
        <w:t>A∈R</w:t>
      </w:r>
      <w:r>
        <w:rPr>
          <w:vertAlign w:val="superscript"/>
        </w:rPr>
        <w:t>in×r</w:t>
      </w:r>
      <w:r>
        <w:t>,B∈R</w:t>
      </w:r>
      <w:r>
        <w:rPr>
          <w:vertAlign w:val="superscript"/>
        </w:rPr>
        <w:t>r×out</w:t>
      </w:r>
      <w:r>
        <w:t>：低秩矩阵（可训练，r=8为默认秩）；</w:t>
      </w:r>
    </w:p>
    <w:p w14:paraId="7C0C03FA">
      <w:pPr>
        <w:numPr>
          <w:ilvl w:val="0"/>
          <w:numId w:val="0"/>
        </w:numPr>
        <w:bidi w:val="0"/>
      </w:pPr>
      <w:r>
        <w:t>α=16：缩放因子，rα​ 保证不同秩下梯度幅度一致；</w:t>
      </w:r>
    </w:p>
    <w:p w14:paraId="56056382">
      <w:pPr>
        <w:numPr>
          <w:ilvl w:val="0"/>
          <w:numId w:val="0"/>
        </w:numPr>
        <w:bidi w:val="0"/>
      </w:pPr>
      <w:r>
        <w:t>b：可选偏置项（默认保留，与原始线性层对齐）。</w:t>
      </w:r>
    </w:p>
    <w:p w14:paraId="5B36027F">
      <w:pPr>
        <w:numPr>
          <w:ilvl w:val="0"/>
          <w:numId w:val="0"/>
        </w:numPr>
        <w:bidi w:val="0"/>
      </w:pPr>
      <w:r>
        <w:t>2 扩展实现（LowRankMLP）</w:t>
      </w:r>
    </w:p>
    <w:p w14:paraId="6647AEAC">
      <w:pPr>
        <w:numPr>
          <w:ilvl w:val="0"/>
          <w:numId w:val="0"/>
        </w:numPr>
        <w:bidi w:val="0"/>
      </w:pPr>
      <w:r>
        <w:t>完全替换原始 MLP 的线性层，保持ReLU激活逻辑不变</w:t>
      </w:r>
    </w:p>
    <w:p w14:paraId="56BDF257">
      <w:pPr>
        <w:numPr>
          <w:ilvl w:val="0"/>
          <w:numId w:val="0"/>
        </w:numPr>
        <w:bidi w:val="0"/>
        <w:rPr>
          <w:rFonts w:hint="eastAsia"/>
          <w:lang w:val="en-US" w:eastAsia="zh-CN"/>
        </w:rPr>
      </w:pPr>
    </w:p>
    <w:p w14:paraId="19D554E0">
      <w:pPr>
        <w:numPr>
          <w:ilvl w:val="0"/>
          <w:numId w:val="0"/>
        </w:numPr>
        <w:bidi w:val="0"/>
        <w:rPr>
          <w:sz w:val="28"/>
          <w:szCs w:val="36"/>
        </w:rPr>
      </w:pPr>
      <w:r>
        <w:rPr>
          <w:sz w:val="28"/>
          <w:szCs w:val="36"/>
        </w:rPr>
        <w:t>2. 语义适配器</w:t>
      </w:r>
    </w:p>
    <w:p w14:paraId="360C27AE">
      <w:pPr>
        <w:numPr>
          <w:ilvl w:val="0"/>
          <w:numId w:val="0"/>
        </w:numPr>
        <w:bidi w:val="0"/>
      </w:pPr>
      <w:r>
        <w:t>1 模式 1：Simple Adapter（基础残差版）</w:t>
      </w:r>
    </w:p>
    <w:p w14:paraId="25895765">
      <w:pPr>
        <w:numPr>
          <w:ilvl w:val="0"/>
          <w:numId w:val="0"/>
        </w:numPr>
        <w:bidi w:val="0"/>
      </w:pPr>
      <w:r>
        <w:t>定位：CLIP 文本编码器后 → 余弦相似度计算前；</w:t>
      </w:r>
    </w:p>
    <w:p w14:paraId="13FAD28E">
      <w:pPr>
        <w:numPr>
          <w:ilvl w:val="0"/>
          <w:numId w:val="0"/>
        </w:numPr>
        <w:bidi w:val="0"/>
      </w:pPr>
      <w:r>
        <w:t>维度：固定 768→64→768（适配 CLIP ViT-L/14 的 768 维输出）；</w:t>
      </w:r>
    </w:p>
    <w:p w14:paraId="647E36D7">
      <w:pPr>
        <w:numPr>
          <w:ilvl w:val="0"/>
          <w:numId w:val="0"/>
        </w:numPr>
        <w:bidi w:val="0"/>
      </w:pPr>
      <w:r>
        <w:t>核心逻辑：</w:t>
      </w:r>
    </w:p>
    <w:p w14:paraId="62B1C8EF">
      <w:pPr>
        <w:numPr>
          <w:ilvl w:val="0"/>
          <w:numId w:val="0"/>
        </w:numPr>
        <w:bidi w:val="0"/>
      </w:pPr>
      <w:r>
        <w:t>输入x(768D) → LayerNorm → Down-proj(768→64) → GELU → Up-proj(64→768) → 残差叠加（x+输出）</w:t>
      </w:r>
    </w:p>
    <w:p w14:paraId="5192212D">
      <w:pPr>
        <w:numPr>
          <w:ilvl w:val="0"/>
          <w:numId w:val="0"/>
        </w:numPr>
        <w:bidi w:val="0"/>
      </w:pPr>
      <w:r>
        <w:t>关键初始化：simple_up权重置 0，保证初始为恒等变换（输出 = 输入），避免干扰预训练特征。</w:t>
      </w:r>
    </w:p>
    <w:p w14:paraId="6E9DB982">
      <w:pPr>
        <w:numPr>
          <w:ilvl w:val="0"/>
          <w:numId w:val="0"/>
        </w:numPr>
        <w:bidi w:val="0"/>
      </w:pPr>
      <w:r>
        <w:t>2 模式 2：Complex Adapter（多粒度 + 门控 + 低秩版）</w:t>
      </w:r>
    </w:p>
    <w:p w14:paraId="0385BA89">
      <w:pPr>
        <w:numPr>
          <w:ilvl w:val="0"/>
          <w:numId w:val="0"/>
        </w:numPr>
        <w:bidi w:val="0"/>
      </w:pPr>
      <w:r>
        <w:rPr>
          <w:lang w:val="en-US" w:eastAsia="zh-CN"/>
        </w:rPr>
        <w:t>这是本次实现的核心创新点，Method 章节可重点突出：</w:t>
      </w:r>
    </w:p>
    <w:p w14:paraId="4ACF912C">
      <w:pPr>
        <w:numPr>
          <w:ilvl w:val="0"/>
          <w:numId w:val="0"/>
        </w:numPr>
        <w:bidi w:val="0"/>
      </w:pPr>
      <w:r>
        <w:rPr>
          <w:rFonts w:hint="eastAsia"/>
          <w:lang w:val="en-US" w:eastAsia="zh-CN"/>
        </w:rPr>
        <w:t>2.1</w:t>
      </w:r>
      <w:r>
        <w:t>多粒度特征拆分（基于掩码）</w:t>
      </w:r>
    </w:p>
    <w:p w14:paraId="47642808">
      <w:pPr>
        <w:numPr>
          <w:ilvl w:val="0"/>
          <w:numId w:val="0"/>
        </w:numPr>
        <w:bidi w:val="0"/>
      </w:pPr>
      <w:r>
        <w:rPr>
          <w:lang w:val="en-US" w:eastAsia="zh-CN"/>
        </w:rPr>
        <w:t>通过可学习掩码拆分文本特征为 3 个语义粒度：</w:t>
      </w:r>
    </w:p>
    <w:p w14:paraId="6CD49C39">
      <w:pPr>
        <w:numPr>
          <w:ilvl w:val="0"/>
          <w:numId w:val="0"/>
        </w:numPr>
        <w:bidi w:val="0"/>
      </w:pPr>
      <w:r>
        <w:t>单词级（前 256 维）：动作 / 物体核心语义（如 “人 - 拿 - 杯子” 中的 “拿”“杯子”）；</w:t>
      </w:r>
    </w:p>
    <w:p w14:paraId="6E7AFC9D">
      <w:pPr>
        <w:numPr>
          <w:ilvl w:val="0"/>
          <w:numId w:val="0"/>
        </w:numPr>
        <w:bidi w:val="0"/>
      </w:pPr>
      <w:r>
        <w:t>短语级（256-512 维）：动作 + 物体组合语义（如 “拿杯子”）；</w:t>
      </w:r>
    </w:p>
    <w:p w14:paraId="41E1E819">
      <w:pPr>
        <w:numPr>
          <w:ilvl w:val="0"/>
          <w:numId w:val="0"/>
        </w:numPr>
        <w:bidi w:val="0"/>
      </w:pPr>
      <w:r>
        <w:t>句子级（512-768 维）：完整场景语义（如 “一个人在客厅拿杯子”）。</w:t>
      </w:r>
    </w:p>
    <w:p w14:paraId="4C8BE999">
      <w:pPr>
        <w:numPr>
          <w:ilvl w:val="0"/>
          <w:numId w:val="0"/>
        </w:numPr>
        <w:bidi w:val="0"/>
      </w:pPr>
      <w:r>
        <w:rPr>
          <w:rFonts w:hint="eastAsia"/>
          <w:lang w:val="en-US" w:eastAsia="zh-CN"/>
        </w:rPr>
        <w:t>2.2</w:t>
      </w:r>
      <w:r>
        <w:t>多粒度低秩增强</w:t>
      </w:r>
    </w:p>
    <w:p w14:paraId="3DC5CC1F">
      <w:pPr>
        <w:numPr>
          <w:ilvl w:val="0"/>
          <w:numId w:val="0"/>
        </w:numPr>
        <w:bidi w:val="0"/>
      </w:pPr>
      <w:r>
        <w:rPr>
          <w:lang w:val="en-US" w:eastAsia="zh-CN"/>
        </w:rPr>
        <w:t>每个粒度特征独立经过「降维 + 低秩线性层」，强化细粒度语义表达：</w:t>
      </w:r>
    </w:p>
    <w:p w14:paraId="41934667">
      <w:pPr>
        <w:numPr>
          <w:ilvl w:val="0"/>
          <w:numId w:val="0"/>
        </w:numPr>
        <w:bidi w:val="0"/>
      </w:pPr>
      <w:r>
        <w:rPr>
          <w:lang w:val="en-US" w:eastAsia="zh-CN"/>
        </w:rPr>
        <w:t>feat</w:t>
      </w:r>
      <w:r>
        <w:rPr>
          <w:vertAlign w:val="subscript"/>
          <w:lang w:val="en-US" w:eastAsia="zh-CN"/>
        </w:rPr>
        <w:t>granule</w:t>
      </w:r>
      <w:r>
        <w:rPr>
          <w:lang w:val="en-US" w:eastAsia="zh-CN"/>
        </w:rPr>
        <w:t>=LowRankLinear(Linear(feat</w:t>
      </w:r>
      <w:r>
        <w:rPr>
          <w:vertAlign w:val="subscript"/>
          <w:lang w:val="en-US" w:eastAsia="zh-CN"/>
        </w:rPr>
        <w:t>raw</w:t>
      </w:r>
      <w:r>
        <w:rPr>
          <w:rFonts w:hint="eastAsia"/>
          <w:lang w:val="en-US" w:eastAsia="zh-CN"/>
        </w:rPr>
        <w:t>·</w:t>
      </w:r>
      <w:r>
        <w:rPr>
          <w:lang w:val="en-US" w:eastAsia="zh-CN"/>
        </w:rPr>
        <w:t>mask</w:t>
      </w:r>
      <w:r>
        <w:rPr>
          <w:vertAlign w:val="subscript"/>
          <w:lang w:val="en-US" w:eastAsia="zh-CN"/>
        </w:rPr>
        <w:t>granule</w:t>
      </w:r>
      <w:r>
        <w:rPr>
          <w:lang w:val="en-US" w:eastAsia="zh-CN"/>
        </w:rPr>
        <w:t>))</w:t>
      </w:r>
    </w:p>
    <w:p w14:paraId="531F1AAA">
      <w:pPr>
        <w:numPr>
          <w:ilvl w:val="0"/>
          <w:numId w:val="0"/>
        </w:numPr>
        <w:bidi w:val="0"/>
      </w:pPr>
      <w:r>
        <w:t>2.3 自适应门控融合</w:t>
      </w:r>
    </w:p>
    <w:p w14:paraId="58573653">
      <w:pPr>
        <w:numPr>
          <w:ilvl w:val="0"/>
          <w:numId w:val="0"/>
        </w:numPr>
        <w:bidi w:val="0"/>
      </w:pPr>
      <w:r>
        <w:t>输入：3 个粒度特征拼接（64×3=192维）；</w:t>
      </w:r>
    </w:p>
    <w:p w14:paraId="5D12C5FD">
      <w:pPr>
        <w:numPr>
          <w:ilvl w:val="0"/>
          <w:numId w:val="0"/>
        </w:numPr>
        <w:bidi w:val="0"/>
      </w:pPr>
      <w:r>
        <w:t>门控层：192→3维，通过Softmax输出权重（和为 1）；</w:t>
      </w:r>
    </w:p>
    <w:p w14:paraId="494BD697">
      <w:pPr>
        <w:numPr>
          <w:ilvl w:val="0"/>
          <w:numId w:val="0"/>
        </w:numPr>
        <w:bidi w:val="0"/>
      </w:pPr>
      <w:r>
        <w:t>融合逻辑：feat</w:t>
      </w:r>
      <w:r>
        <w:rPr>
          <w:vertAlign w:val="subscript"/>
        </w:rPr>
        <w:t>fused</w:t>
      </w:r>
      <w:r>
        <w:t>=w1</w:t>
      </w:r>
      <w:r>
        <w:rPr>
          <w:rFonts w:hint="eastAsia"/>
          <w:lang w:val="en-US" w:eastAsia="zh-CN"/>
        </w:rPr>
        <w:t>·</w:t>
      </w:r>
      <w:r>
        <w:t>feat</w:t>
      </w:r>
      <w:r>
        <w:rPr>
          <w:vertAlign w:val="subscript"/>
        </w:rPr>
        <w:t>word</w:t>
      </w:r>
      <w:r>
        <w:t>​+w2</w:t>
      </w:r>
      <w:r>
        <w:rPr>
          <w:rFonts w:hint="eastAsia"/>
          <w:lang w:val="en-US" w:eastAsia="zh-CN"/>
        </w:rPr>
        <w:t>·</w:t>
      </w:r>
      <w:r>
        <w:t>feat</w:t>
      </w:r>
      <w:r>
        <w:rPr>
          <w:vertAlign w:val="subscript"/>
        </w:rPr>
        <w:t>phrase</w:t>
      </w:r>
      <w:r>
        <w:t>​+w3</w:t>
      </w:r>
      <w:r>
        <w:rPr>
          <w:rFonts w:hint="eastAsia"/>
          <w:lang w:val="en-US" w:eastAsia="zh-CN"/>
        </w:rPr>
        <w:t>·</w:t>
      </w:r>
      <w:r>
        <w:t>feat</w:t>
      </w:r>
      <w:r>
        <w:rPr>
          <w:vertAlign w:val="subscript"/>
        </w:rPr>
        <w:t>sentence</w:t>
      </w:r>
      <w:r>
        <w:t>​</w:t>
      </w:r>
    </w:p>
    <w:p w14:paraId="6ECC4D0C">
      <w:pPr>
        <w:numPr>
          <w:ilvl w:val="0"/>
          <w:numId w:val="0"/>
        </w:numPr>
        <w:bidi w:val="0"/>
      </w:pPr>
      <w:r>
        <w:t>其中w1​/w2​/w3​为门控权重，自适应调整不同粒度的贡献度（如 HOI 检测中侧重单词级 / 短语级）。</w:t>
      </w:r>
    </w:p>
    <w:p w14:paraId="343B7794">
      <w:pPr>
        <w:numPr>
          <w:ilvl w:val="0"/>
          <w:numId w:val="0"/>
        </w:numPr>
        <w:bidi w:val="0"/>
      </w:pPr>
      <w:r>
        <w:t>2.4 低秩残差增强</w:t>
      </w:r>
    </w:p>
    <w:p w14:paraId="0DC5EF37">
      <w:pPr>
        <w:numPr>
          <w:ilvl w:val="0"/>
          <w:numId w:val="0"/>
        </w:numPr>
        <w:bidi w:val="0"/>
      </w:pPr>
      <w:r>
        <w:rPr>
          <w:lang w:val="en-US" w:eastAsia="zh-CN"/>
        </w:rPr>
        <w:t>融合后的特征经「升维 + 低秩线性层」回 768 维，叠加到原始特征：</w:t>
      </w:r>
    </w:p>
    <w:p w14:paraId="49B35AD7">
      <w:pPr>
        <w:numPr>
          <w:ilvl w:val="0"/>
          <w:numId w:val="0"/>
        </w:numPr>
        <w:bidi w:val="0"/>
        <w:rPr>
          <w:lang w:val="en-US" w:eastAsia="zh-CN"/>
        </w:rPr>
      </w:pPr>
      <w:r>
        <w:rPr>
          <w:lang w:val="en-US" w:eastAsia="zh-CN"/>
        </w:rPr>
        <w:t>output=x+LowRankLinear(GELU(Linear(feat</w:t>
      </w:r>
      <w:r>
        <w:rPr>
          <w:vertAlign w:val="subscript"/>
          <w:lang w:val="en-US" w:eastAsia="zh-CN"/>
        </w:rPr>
        <w:t>fused​</w:t>
      </w:r>
      <w:r>
        <w:rPr>
          <w:lang w:val="en-US" w:eastAsia="zh-CN"/>
        </w:rPr>
        <w:t>)))</w:t>
      </w:r>
    </w:p>
    <w:p w14:paraId="4782DA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31F6F7CB">
      <w:pPr>
        <w:numPr>
          <w:ilvl w:val="0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考虑：   </w:t>
      </w:r>
    </w:p>
    <w:p w14:paraId="3F9500E4">
      <w:pPr>
        <w:numPr>
          <w:ilvl w:val="0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1动态粒度拆分替换固定掩码</w:t>
      </w:r>
    </w:p>
    <w:p w14:paraId="5DE780EC">
      <w:pPr>
        <w:rPr>
          <w:rFonts w:ascii="Consolas" w:hAnsi="Consolas"/>
          <w:color w:val="0070C0"/>
          <w:spacing w:val="8"/>
          <w:szCs w:val="21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1066832"/>
    <w:multiLevelType w:val="singleLevel"/>
    <w:tmpl w:val="31066832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783D"/>
    <w:rsid w:val="005C783D"/>
    <w:rsid w:val="00C8528E"/>
    <w:rsid w:val="00CB41AA"/>
    <w:rsid w:val="00D861A6"/>
    <w:rsid w:val="00DE0513"/>
    <w:rsid w:val="00F661F2"/>
    <w:rsid w:val="00FF3665"/>
    <w:rsid w:val="10522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semiHidden="0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link w:val="9"/>
    <w:qFormat/>
    <w:uiPriority w:val="9"/>
    <w:pPr>
      <w:widowControl/>
      <w:spacing w:before="100" w:beforeAutospacing="1" w:after="100" w:afterAutospacing="1"/>
      <w:jc w:val="left"/>
      <w:outlineLvl w:val="2"/>
    </w:pPr>
    <w:rPr>
      <w:rFonts w:ascii="宋体" w:hAnsi="宋体" w:eastAsia="宋体" w:cs="宋体"/>
      <w:b/>
      <w:bCs/>
      <w:kern w:val="0"/>
      <w:sz w:val="27"/>
      <w:szCs w:val="27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link w:val="8"/>
    <w:unhideWhenUsed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eastAsia="宋体" w:cs="宋体"/>
      <w:kern w:val="0"/>
      <w:sz w:val="24"/>
      <w:szCs w:val="24"/>
    </w:rPr>
  </w:style>
  <w:style w:type="character" w:styleId="6">
    <w:name w:val="HTML Code"/>
    <w:basedOn w:val="5"/>
    <w:semiHidden/>
    <w:unhideWhenUsed/>
    <w:uiPriority w:val="99"/>
    <w:rPr>
      <w:rFonts w:ascii="宋体" w:hAnsi="宋体" w:eastAsia="宋体" w:cs="宋体"/>
      <w:sz w:val="24"/>
      <w:szCs w:val="24"/>
    </w:rPr>
  </w:style>
  <w:style w:type="table" w:customStyle="1" w:styleId="7">
    <w:name w:val="三线表"/>
    <w:basedOn w:val="4"/>
    <w:uiPriority w:val="99"/>
    <w:rPr>
      <w:rFonts w:ascii="Times New Roman" w:hAnsi="Times New Roman" w:eastAsia="宋体"/>
      <w:sz w:val="24"/>
    </w:rPr>
    <w:tblPr>
      <w:tblBorders>
        <w:top w:val="single" w:color="auto" w:sz="12" w:space="0"/>
        <w:bottom w:val="single" w:color="auto" w:sz="12" w:space="0"/>
      </w:tblBorders>
    </w:tblPr>
    <w:tblStylePr w:type="firstRow">
      <w:rPr>
        <w:b/>
      </w:rPr>
      <w:tcPr>
        <w:tcBorders>
          <w:bottom w:val="single" w:color="auto" w:sz="4" w:space="0"/>
        </w:tcBorders>
      </w:tcPr>
    </w:tblStylePr>
  </w:style>
  <w:style w:type="character" w:customStyle="1" w:styleId="8">
    <w:name w:val="HTML 预设格式 字符"/>
    <w:basedOn w:val="5"/>
    <w:link w:val="3"/>
    <w:uiPriority w:val="99"/>
    <w:rPr>
      <w:rFonts w:ascii="宋体" w:hAnsi="宋体" w:eastAsia="宋体" w:cs="宋体"/>
      <w:kern w:val="0"/>
      <w:sz w:val="24"/>
      <w:szCs w:val="24"/>
    </w:rPr>
  </w:style>
  <w:style w:type="character" w:customStyle="1" w:styleId="9">
    <w:name w:val="标题 3 字符"/>
    <w:basedOn w:val="5"/>
    <w:link w:val="2"/>
    <w:uiPriority w:val="9"/>
    <w:rPr>
      <w:rFonts w:ascii="宋体" w:hAnsi="宋体" w:eastAsia="宋体" w:cs="宋体"/>
      <w:b/>
      <w:bCs/>
      <w:kern w:val="0"/>
      <w:sz w:val="27"/>
      <w:szCs w:val="27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433</Words>
  <Characters>849</Characters>
  <Lines>9</Lines>
  <Paragraphs>2</Paragraphs>
  <TotalTime>0</TotalTime>
  <ScaleCrop>false</ScaleCrop>
  <LinksUpToDate>false</LinksUpToDate>
  <CharactersWithSpaces>1368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2026-02-22T14:27:00Z</dcterms:created>
  <dc:creator>甜 王</dc:creator>
  <cp:lastModifiedBy>刘婕</cp:lastModifiedBy>
  <dcterms:modified xsi:type="dcterms:W3CDTF">2026-02-26T11:13:27Z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eyJoZGlkIjoiY2Q4MDE2ZjQyN2QwOTA4Nzg1YjZjZWM5NmJkYWM0YjkiLCJ1c2VySWQiOiI3Njk5MjczNDEifQ==</vt:lpwstr>
  </property>
  <property fmtid="{D5CDD505-2E9C-101B-9397-08002B2CF9AE}" pid="3" name="KSOProductBuildVer">
    <vt:lpwstr>2052-12.1.0.25225</vt:lpwstr>
  </property>
  <property fmtid="{D5CDD505-2E9C-101B-9397-08002B2CF9AE}" pid="4" name="ICV">
    <vt:lpwstr>51663C57604C4E0A89C44A6177A8CED0_13</vt:lpwstr>
  </property>
</Properties>
</file>