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DF94A">
      <w:pPr>
        <w:pStyle w:val="2"/>
        <w:bidi w:val="0"/>
        <w:rPr>
          <w:rFonts w:hint="default"/>
          <w:b/>
          <w:bCs/>
          <w:sz w:val="28"/>
          <w:szCs w:val="28"/>
          <w:lang w:val="en-US" w:eastAsia="zh-CN"/>
        </w:rPr>
      </w:pPr>
      <w:r>
        <w:rPr>
          <w:rFonts w:hint="eastAsia"/>
          <w:lang w:val="en-US" w:eastAsia="zh-CN"/>
        </w:rPr>
        <w:t>3.Methodology</w:t>
      </w:r>
    </w:p>
    <w:p w14:paraId="708BCF04">
      <w:pPr>
        <w:rPr>
          <w:rFonts w:hint="default"/>
          <w:b/>
          <w:bCs/>
          <w:sz w:val="28"/>
          <w:szCs w:val="28"/>
          <w:lang w:val="en-US" w:eastAsia="zh-CN"/>
        </w:rPr>
      </w:pPr>
      <w:r>
        <w:rPr>
          <w:rFonts w:hint="default"/>
          <w:b/>
          <w:bCs/>
          <w:sz w:val="28"/>
          <w:szCs w:val="28"/>
          <w:lang w:val="en-US" w:eastAsia="zh-CN"/>
        </w:rPr>
        <w:t>3.1 Overview</w:t>
      </w:r>
      <w:bookmarkStart w:id="0" w:name="_GoBack"/>
      <w:bookmarkEnd w:id="0"/>
    </w:p>
    <w:p w14:paraId="48EE4841">
      <w:pPr>
        <w:ind w:firstLine="440" w:firstLineChars="200"/>
        <w:rPr>
          <w:rFonts w:hint="default"/>
          <w:lang w:val="en-US" w:eastAsia="zh-CN"/>
        </w:rPr>
      </w:pPr>
      <w:r>
        <w:rPr>
          <w:rFonts w:hint="default"/>
          <w:lang w:val="en-US" w:eastAsia="zh-CN"/>
        </w:rPr>
        <w:t xml:space="preserve">Given an input image </w:t>
      </w:r>
      <m:oMath>
        <m:r>
          <m:rPr/>
          <w:rPr>
            <w:rFonts w:hint="default" w:ascii="Cambria Math" w:hAnsi="Cambria Math"/>
            <w:sz w:val="22"/>
            <w:lang w:val="en-US" w:eastAsia="zh-CN"/>
          </w:rPr>
          <m:t>I</m:t>
        </m:r>
      </m:oMath>
      <w:r>
        <w:rPr>
          <w:rFonts w:hint="default"/>
          <w:lang w:val="en-US" w:eastAsia="zh-CN"/>
        </w:rPr>
        <w:t>, the goal of zero-shot HOI detection is to predict all human-object interaction instances, including those belonging to categories that are unseen during training. The whole HOI category space is composed of object classes and interaction verb classes. Under the zero-shot setting, the model is trained only on samples from seen HOI categories.</w:t>
      </w:r>
    </w:p>
    <w:p w14:paraId="066113E2">
      <w:pPr>
        <w:ind w:firstLine="440" w:firstLineChars="200"/>
        <w:rPr>
          <w:rFonts w:hint="default"/>
          <w:lang w:val="en-US" w:eastAsia="zh-CN"/>
        </w:rPr>
      </w:pPr>
      <w:r>
        <w:rPr>
          <w:rFonts w:hint="default"/>
          <w:lang w:val="en-US" w:eastAsia="zh-CN"/>
        </w:rPr>
        <w:t>The overall framework first detects humans and objects using a pre-trained detector, constructs valid human-object pairs, and generates HO tokens for interaction classification. The HO tokens, together with the [CLS] token and image patch tokens, are fed into the CLIP visual encoder for visual feature aggregation. The interaction score is then evaluated by computing the similarity between visual features and the text embeddings of HOI categories.</w:t>
      </w:r>
    </w:p>
    <w:p w14:paraId="5F067D5C">
      <w:pPr>
        <w:ind w:firstLine="440" w:firstLineChars="200"/>
        <w:rPr>
          <w:rFonts w:hint="default"/>
          <w:lang w:val="en-US" w:eastAsia="zh-CN"/>
        </w:rPr>
      </w:pPr>
      <w:r>
        <w:rPr>
          <w:rFonts w:hint="default"/>
          <w:lang w:val="en-US" w:eastAsia="zh-CN"/>
        </w:rPr>
        <w:t>To address the seen-class bias and the overfitting issue of fixed prompt vectors in existing methods, we introduce a set of dedicated modules. Specifically, we incorporate a scene-aware visual tuning module to enhance visual feature representation, a parameter-efficient low-rank semantic adapte</w:t>
      </w:r>
      <w:r>
        <w:rPr>
          <w:rFonts w:hint="eastAsia"/>
          <w:lang w:val="en-US" w:eastAsia="zh-CN"/>
        </w:rPr>
        <w:t>r</w:t>
      </w:r>
      <w:r>
        <w:rPr>
          <w:rFonts w:hint="default"/>
          <w:lang w:val="en-US" w:eastAsia="zh-CN"/>
        </w:rPr>
        <w:t xml:space="preserve"> to refine text embeddings, and visual-content adaptive prompts inspired by MetaNet to enable dynamic context adjustment. We further employ a Suppression-Boost calibration module to rebalance prediction scores between seen and unseen classes.</w:t>
      </w:r>
    </w:p>
    <w:p w14:paraId="426ED379">
      <w:pPr>
        <w:rPr>
          <w:b/>
          <w:bCs/>
          <w:color w:val="000000" w:themeColor="text1"/>
          <w14:textFill>
            <w14:solidFill>
              <w14:schemeClr w14:val="tx1"/>
            </w14:solidFill>
          </w14:textFill>
        </w:rPr>
      </w:pPr>
    </w:p>
    <w:p w14:paraId="7ABBC5B1">
      <w:pPr>
        <w:rPr>
          <w:b/>
          <w:bCs/>
          <w:color w:val="000000" w:themeColor="text1"/>
          <w14:textFill>
            <w14:solidFill>
              <w14:schemeClr w14:val="tx1"/>
            </w14:solidFill>
          </w14:textFill>
        </w:rPr>
      </w:pPr>
    </w:p>
    <w:p w14:paraId="6D7DCAF2">
      <w:pPr>
        <w:rPr>
          <w:b/>
          <w:bCs/>
          <w:color w:val="000000" w:themeColor="text1"/>
          <w14:textFill>
            <w14:solidFill>
              <w14:schemeClr w14:val="tx1"/>
            </w14:solidFill>
          </w14:textFill>
        </w:rPr>
      </w:pPr>
      <w:r>
        <w:rPr>
          <w:b/>
          <w:bCs/>
          <w:color w:val="000000" w:themeColor="text1"/>
          <w14:textFill>
            <w14:solidFill>
              <w14:schemeClr w14:val="tx1"/>
            </w14:solidFill>
          </w14:textFill>
        </w:rPr>
        <w:t>3. Method</w:t>
      </w:r>
    </w:p>
    <w:p w14:paraId="14DE6AD7">
      <w:pPr>
        <w:rPr>
          <w:lang w:eastAsia="zh-Hans"/>
        </w:rPr>
      </w:pPr>
      <w:r>
        <w:rPr>
          <w:lang w:eastAsia="zh-Hans"/>
        </w:rPr>
        <w:t>In this section, we present our proposed framework for zero-shot Human-Object Interaction (HOI) detection. Through experiments, we observe a prevalent seen-class bias in the baseline model, i.e., the model tends to misclassify unseen class samples as seen classes. We then analyze the source of this bias via empirical observations. Based on the analysis, we introduce a lightweight post-processing strategy that suppresses over-confident seen classes and boosts unseen ones. Finally, we describe a parameter-efficient semantic adapter that refines text representations while keeping the CLIP backbone frozen.</w:t>
      </w:r>
    </w:p>
    <w:p w14:paraId="5884582E">
      <w:pPr>
        <w:rPr>
          <w:b/>
          <w:bCs/>
          <w:color w:val="000000" w:themeColor="text1"/>
          <w14:textFill>
            <w14:solidFill>
              <w14:schemeClr w14:val="tx1"/>
            </w14:solidFill>
          </w14:textFill>
        </w:rPr>
      </w:pPr>
      <w:r>
        <w:rPr>
          <w:b/>
          <w:bCs/>
          <w:color w:val="000000" w:themeColor="text1"/>
          <w14:textFill>
            <w14:solidFill>
              <w14:schemeClr w14:val="tx1"/>
            </w14:solidFill>
          </w14:textFill>
        </w:rPr>
        <w:t>3.1 Problem D</w:t>
      </w:r>
      <w:r>
        <w:rPr>
          <w:rFonts w:hint="eastAsia"/>
          <w:b/>
          <w:bCs/>
          <w:color w:val="000000" w:themeColor="text1"/>
          <w14:textFill>
            <w14:solidFill>
              <w14:schemeClr w14:val="tx1"/>
            </w14:solidFill>
          </w14:textFill>
        </w:rPr>
        <w:t>efinition</w:t>
      </w:r>
    </w:p>
    <w:p w14:paraId="17E02632">
      <w:r>
        <w:t>Given an image </w:t>
      </w:r>
      <w:r>
        <w:rPr>
          <w:position w:val="-10"/>
        </w:rPr>
        <w:object>
          <v:shape id="_x0000_i1025" o:spt="75" type="#_x0000_t75" style="height:15pt;width:7.5pt;" o:ole="t" filled="f" o:preferrelative="t" stroked="f" coordsize="21600,21600">
            <v:path/>
            <v:fill on="f" focussize="0,0"/>
            <v:stroke on="f" joinstyle="miter"/>
            <v:imagedata r:id="rId6" o:title=""/>
            <o:lock v:ext="edit" aspectratio="t"/>
            <w10:wrap type="none"/>
            <w10:anchorlock/>
          </v:shape>
          <o:OLEObject Type="Embed" ProgID="Equation.AxMath" ShapeID="_x0000_i1025" DrawAspect="Content" ObjectID="_1468075725" r:id="rId5">
            <o:LockedField>false</o:LockedField>
          </o:OLEObject>
        </w:object>
      </w:r>
      <w:r>
        <w:t>, the goal of zero</w:t>
      </w:r>
      <w:r>
        <w:noBreakHyphen/>
      </w:r>
      <w:r>
        <w:t>shot HOI detection is to localize human</w:t>
      </w:r>
      <w:r>
        <w:rPr>
          <w:lang w:eastAsia="zh-Hans"/>
        </w:rPr>
        <w:t>-</w:t>
      </w:r>
      <w:r>
        <w:t>object pairs and recognize an interaction verb </w:t>
      </w:r>
      <m:oMath>
        <m:r>
          <m:rPr/>
          <w:rPr>
            <w:rFonts w:hint="default" w:ascii="Cambria Math" w:hAnsi="Cambria Math"/>
          </w:rPr>
          <m:t>v∈V</m:t>
        </m:r>
      </m:oMath>
      <w:r>
        <w:t> that has never been seen together with the object during training. Let </w:t>
      </w:r>
      <w:r>
        <w:rPr>
          <w:position w:val="-10"/>
        </w:rPr>
        <w:object>
          <v:shape id="_x0000_i1026" o:spt="75" type="#_x0000_t75" style="height:15pt;width:20.4pt;" o:ole="t" filled="f" o:preferrelative="t" stroked="f" coordsize="21600,21600">
            <v:path/>
            <v:fill on="f" focussize="0,0"/>
            <v:stroke on="f" joinstyle="miter"/>
            <v:imagedata r:id="rId8" o:title=""/>
            <o:lock v:ext="edit" aspectratio="t"/>
            <w10:wrap type="none"/>
            <w10:anchorlock/>
          </v:shape>
          <o:OLEObject Type="Embed" ProgID="Equation.AxMath" ShapeID="_x0000_i1026" DrawAspect="Content" ObjectID="_1468075726" r:id="rId7">
            <o:LockedField>false</o:LockedField>
          </o:OLEObject>
        </w:object>
      </w:r>
      <w:r>
        <w:rPr>
          <w:rFonts w:hint="eastAsia" w:ascii="MS Gothic" w:hAnsi="MS Gothic" w:eastAsia="MS Gothic" w:cs="MS Gothic"/>
        </w:rPr>
        <w:t xml:space="preserve"> ​</w:t>
      </w:r>
      <w:r>
        <w:t> and </w:t>
      </w:r>
      <w:r>
        <w:rPr>
          <w:position w:val="-10"/>
        </w:rPr>
        <w:object>
          <v:shape id="_x0000_i1027" o:spt="75" type="#_x0000_t75" style="height:15pt;width:27.45pt;" o:ole="t" filled="f" o:preferrelative="t" stroked="f" coordsize="21600,21600">
            <v:path/>
            <v:fill on="f" focussize="0,0"/>
            <v:stroke on="f" joinstyle="miter"/>
            <v:imagedata r:id="rId10" o:title=""/>
            <o:lock v:ext="edit" aspectratio="t"/>
            <w10:wrap type="none"/>
            <w10:anchorlock/>
          </v:shape>
          <o:OLEObject Type="Embed" ProgID="Equation.AxMath" ShapeID="_x0000_i1027" DrawAspect="Content" ObjectID="_1468075727" r:id="rId9">
            <o:LockedField>false</o:LockedField>
          </o:OLEObject>
        </w:object>
      </w:r>
      <w:r>
        <w:rPr>
          <w:rFonts w:hint="eastAsia" w:ascii="MS Gothic" w:hAnsi="MS Gothic" w:eastAsia="MS Gothic" w:cs="MS Gothic"/>
        </w:rPr>
        <w:t>​</w:t>
      </w:r>
      <w:r>
        <w:t> denote the sets of seen and unseen verb classes, respectively, with </w:t>
      </w:r>
      <w:r>
        <w:rPr>
          <w:position w:val="-10"/>
        </w:rPr>
        <w:object>
          <v:shape id="_x0000_i1028" o:spt="75" type="#_x0000_t75" style="height:15pt;width:78.25pt;" o:ole="t" filled="f" o:preferrelative="t" stroked="f" coordsize="21600,21600">
            <v:path/>
            <v:fill on="f" focussize="0,0"/>
            <v:stroke on="f" joinstyle="miter"/>
            <v:imagedata r:id="rId12" o:title=""/>
            <o:lock v:ext="edit" aspectratio="t"/>
            <w10:wrap type="none"/>
            <w10:anchorlock/>
          </v:shape>
          <o:OLEObject Type="Embed" ProgID="Equation.AxMath" ShapeID="_x0000_i1028" DrawAspect="Content" ObjectID="_1468075728" r:id="rId11">
            <o:LockedField>false</o:LockedField>
          </o:OLEObject>
        </w:object>
      </w:r>
      <w:r>
        <w:t>. The final HOI category is often defined by a pair </w:t>
      </w:r>
      <w:r>
        <w:rPr>
          <w:position w:val="-10"/>
        </w:rPr>
        <w:object>
          <v:shape id="_x0000_i1029" o:spt="75" type="#_x0000_t75" style="height:15.8pt;width:22.9pt;" o:ole="t" filled="f" o:preferrelative="t" stroked="f" coordsize="21600,21600">
            <v:path/>
            <v:fill on="f" focussize="0,0"/>
            <v:stroke on="f" joinstyle="miter"/>
            <v:imagedata r:id="rId14" o:title=""/>
            <o:lock v:ext="edit" aspectratio="t"/>
            <w10:wrap type="none"/>
            <w10:anchorlock/>
          </v:shape>
          <o:OLEObject Type="Embed" ProgID="Equation.AxMath" ShapeID="_x0000_i1029" DrawAspect="Content" ObjectID="_1468075729" r:id="rId13">
            <o:LockedField>false</o:LockedField>
          </o:OLEObject>
        </w:object>
      </w:r>
      <w:r>
        <w:t> where </w:t>
      </w:r>
      <w:r>
        <w:rPr>
          <w:position w:val="-12"/>
        </w:rPr>
        <w:object>
          <v:shape id="_x0000_i1030" o:spt="75" type="#_x0000_t75" style="height:17.9pt;width:8.75pt;" o:ole="t" filled="f" o:preferrelative="t" stroked="f" coordsize="21600,21600">
            <v:path/>
            <v:fill on="f" focussize="0,0"/>
            <v:stroke on="f" joinstyle="miter"/>
            <v:imagedata r:id="rId16" o:title=""/>
            <o:lock v:ext="edit" aspectratio="t"/>
            <w10:wrap type="none"/>
            <w10:anchorlock/>
          </v:shape>
          <o:OLEObject Type="Embed" ProgID="Equation.AxMath" ShapeID="_x0000_i1030" DrawAspect="Content" ObjectID="_1468075730" r:id="rId15">
            <o:LockedField>false</o:LockedField>
          </o:OLEObject>
        </w:object>
      </w:r>
      <w:r>
        <w:t> is the object class. In this work we follow the standard HICO</w:t>
      </w:r>
      <w:r>
        <w:noBreakHyphen/>
      </w:r>
      <w:r>
        <w:t xml:space="preserve">det split </w:t>
      </w:r>
      <w:r>
        <w:rPr>
          <w:color w:val="000000" w:themeColor="text1"/>
          <w:vertAlign w:val="superscript"/>
          <w14:textFill>
            <w14:solidFill>
              <w14:schemeClr w14:val="tx1"/>
            </w14:solidFill>
          </w14:textFill>
        </w:rPr>
        <w:t>[1]</w:t>
      </w:r>
      <w:r>
        <w:rPr>
          <w:color w:val="000000" w:themeColor="text1"/>
          <w14:textFill>
            <w14:solidFill>
              <w14:schemeClr w14:val="tx1"/>
            </w14:solidFill>
          </w14:textFill>
        </w:rPr>
        <w:t xml:space="preserve"> </w:t>
      </w:r>
      <w:r>
        <w:t>and denote the HOI class set as </w:t>
      </w:r>
      <w:r>
        <w:rPr>
          <w:position w:val="-11"/>
        </w:rPr>
        <w:object>
          <v:shape id="_x0000_i1031" o:spt="75" type="#_x0000_t75" style="height:16.25pt;width:54.1pt;" o:ole="t" filled="f" o:preferrelative="t" stroked="f" coordsize="21600,21600">
            <v:path/>
            <v:fill on="f" focussize="0,0"/>
            <v:stroke on="f" joinstyle="miter"/>
            <v:imagedata r:id="rId18" o:title=""/>
            <o:lock v:ext="edit" aspectratio="t"/>
            <w10:wrap type="none"/>
            <w10:anchorlock/>
          </v:shape>
          <o:OLEObject Type="Embed" ProgID="Equation.AxMath" ShapeID="_x0000_i1031" DrawAspect="Content" ObjectID="_1468075731" r:id="rId17">
            <o:LockedField>false</o:LockedField>
          </o:OLEObject>
        </w:object>
      </w:r>
      <w:r>
        <w:t>.</w:t>
      </w:r>
    </w:p>
    <w:p w14:paraId="0D260ACF">
      <w:r>
        <w:t xml:space="preserve">Our model builds upon a pretrained object detector </w:t>
      </w:r>
      <w:r>
        <w:rPr>
          <w:color w:val="000000" w:themeColor="text1"/>
          <w:vertAlign w:val="superscript"/>
          <w14:textFill>
            <w14:solidFill>
              <w14:schemeClr w14:val="tx1"/>
            </w14:solidFill>
          </w14:textFill>
        </w:rPr>
        <w:t>[2]</w:t>
      </w:r>
      <w:r>
        <w:t xml:space="preserve"> that provides bounding boxes and region features for humans and objects. For each human</w:t>
      </w:r>
      <w:r>
        <w:rPr>
          <w:lang w:eastAsia="zh-Hans"/>
        </w:rPr>
        <w:t>-</w:t>
      </w:r>
      <w:r>
        <w:t xml:space="preserve">object pair, we compute a similarity score between the visual representation of the pair and the text embedding of each HOI verb (or HOI label) using a frozen CLIP model </w:t>
      </w:r>
      <w:r>
        <w:rPr>
          <w:color w:val="000000" w:themeColor="text1"/>
          <w:vertAlign w:val="superscript"/>
          <w14:textFill>
            <w14:solidFill>
              <w14:schemeClr w14:val="tx1"/>
            </w14:solidFill>
          </w14:textFill>
        </w:rPr>
        <w:t>[3]</w:t>
      </w:r>
      <w:r>
        <w:t>. Concretely, let </w:t>
      </w:r>
      <w:r>
        <w:rPr>
          <w:position w:val="-12"/>
        </w:rPr>
        <w:object>
          <v:shape id="_x0000_i1032" o:spt="75" type="#_x0000_t75" style="height:17.9pt;width:20.8pt;" o:ole="t" filled="f" o:preferrelative="t" stroked="f" coordsize="21600,21600">
            <v:path/>
            <v:fill on="f" focussize="0,0"/>
            <v:stroke on="f" joinstyle="miter"/>
            <v:imagedata r:id="rId20" o:title=""/>
            <o:lock v:ext="edit" aspectratio="t"/>
            <w10:wrap type="none"/>
            <w10:anchorlock/>
          </v:shape>
          <o:OLEObject Type="Embed" ProgID="Equation.AxMath" ShapeID="_x0000_i1032" DrawAspect="Content" ObjectID="_1468075732" r:id="rId19">
            <o:LockedField>false</o:LockedField>
          </o:OLEObject>
        </w:object>
      </w:r>
      <w:r>
        <w:t> be the visual feature of a human</w:t>
      </w:r>
      <w:r>
        <w:rPr>
          <w:lang w:eastAsia="zh-Hans"/>
        </w:rPr>
        <w:t>-</w:t>
      </w:r>
      <w:r>
        <w:t>object pair (obtained via the CLIP image encoder) and </w:t>
      </w:r>
      <w:r>
        <w:rPr>
          <w:position w:val="-12"/>
        </w:rPr>
        <w:object>
          <v:shape id="_x0000_i1033" o:spt="75" type="#_x0000_t75" style="height:17.9pt;width:22.05pt;" o:ole="t" filled="f" o:preferrelative="t" stroked="f" coordsize="21600,21600">
            <v:path/>
            <v:fill on="f" focussize="0,0"/>
            <v:stroke on="f" joinstyle="miter"/>
            <v:imagedata r:id="rId22" o:title=""/>
            <o:lock v:ext="edit" aspectratio="t"/>
            <w10:wrap type="none"/>
            <w10:anchorlock/>
          </v:shape>
          <o:OLEObject Type="Embed" ProgID="Equation.AxMath" ShapeID="_x0000_i1033" DrawAspect="Content" ObjectID="_1468075733" r:id="rId21">
            <o:LockedField>false</o:LockedField>
          </o:OLEObject>
        </w:object>
      </w:r>
      <w:r>
        <w:t xml:space="preserve"> be the text feature of the </w:t>
      </w:r>
      <w:r>
        <w:rPr>
          <w:position w:val="-12"/>
        </w:rPr>
        <w:object>
          <v:shape id="_x0000_i1034" o:spt="75" type="#_x0000_t75" style="height:17.9pt;width:6.65pt;" o:ole="t" filled="f" o:preferrelative="t" stroked="f" coordsize="21600,21600">
            <v:path/>
            <v:fill on="f" focussize="0,0"/>
            <v:stroke on="f" joinstyle="miter"/>
            <v:imagedata r:id="rId24" o:title=""/>
            <o:lock v:ext="edit" aspectratio="t"/>
            <w10:wrap type="none"/>
            <w10:anchorlock/>
          </v:shape>
          <o:OLEObject Type="Embed" ProgID="Equation.AxMath" ShapeID="_x0000_i1034" DrawAspect="Content" ObjectID="_1468075734" r:id="rId23">
            <o:LockedField>false</o:LockedField>
          </o:OLEObject>
        </w:object>
      </w:r>
      <w:r>
        <w:t>-th HOI class. The raw score is the cosine similarity:</w:t>
      </w:r>
    </w:p>
    <w:p w14:paraId="070FEDB0">
      <w:pPr>
        <w:jc w:val="center"/>
      </w:pPr>
      <m:oMathPara>
        <m:oMath>
          <m:sSub>
            <m:sSubPr>
              <m:ctrlPr>
                <w:rPr>
                  <w:rFonts w:hint="default" w:ascii="Cambria Math" w:hAnsi="Cambria Math"/>
                  <w:sz w:val="22"/>
                </w:rPr>
              </m:ctrlPr>
            </m:sSubPr>
            <m:e>
              <m:r>
                <m:rPr/>
                <w:rPr>
                  <w:rFonts w:hint="default" w:ascii="Cambria Math" w:hAnsi="Cambria Math"/>
                  <w:sz w:val="22"/>
                </w:rPr>
                <m:t>s</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m:t>
          </m:r>
          <m:func>
            <m:funcPr>
              <m:ctrlPr>
                <w:rPr>
                  <w:rFonts w:hint="default" w:ascii="Cambria Math" w:hAnsi="Cambria Math"/>
                  <w:sz w:val="22"/>
                </w:rPr>
              </m:ctrlPr>
            </m:funcPr>
            <m:fName>
              <m:r>
                <m:rPr>
                  <m:sty m:val="p"/>
                </m:rPr>
                <w:rPr>
                  <w:rFonts w:hint="default" w:ascii="Cambria Math" w:hAnsi="Cambria Math"/>
                  <w:sz w:val="22"/>
                </w:rPr>
                <m:t>cos</m:t>
              </m:r>
              <m:ctrlPr>
                <w:rPr>
                  <w:rFonts w:ascii="Cambria Math" w:hAnsi="Cambria Math"/>
                  <w:sz w:val="22"/>
                </w:rPr>
              </m:ctrlPr>
            </m:fName>
            <m:e>
              <m:r>
                <m:rPr/>
                <w:rPr>
                  <w:rFonts w:hint="default" w:ascii="Cambria Math" w:hAnsi="Cambria Math"/>
                  <w:sz w:val="22"/>
                </w:rPr>
                <m:t>(</m:t>
              </m:r>
              <m:ctrlPr>
                <w:rPr>
                  <w:rFonts w:ascii="Cambria Math" w:hAnsi="Cambria Math"/>
                  <w:sz w:val="22"/>
                </w:rPr>
              </m:ctrlPr>
            </m:e>
          </m:func>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img</m:t>
              </m:r>
              <m:ctrlPr>
                <w:rPr>
                  <w:rFonts w:ascii="Cambria Math" w:hAnsi="Cambria Math"/>
                  <w:sz w:val="22"/>
                </w:rPr>
              </m:ctrlPr>
            </m:sub>
          </m:sSub>
          <m:r>
            <m:rPr/>
            <w:rPr>
              <w:rFonts w:hint="default" w:ascii="Cambria Math" w:hAnsi="Cambria Math"/>
              <w:sz w:val="22"/>
            </w:rPr>
            <m:t>,</m:t>
          </m:r>
          <m:sSubSup>
            <m:sSubSupPr>
              <m:ctrlPr>
                <w:rPr>
                  <w:rFonts w:hint="default" w:ascii="Cambria Math" w:hAnsi="Cambria Math"/>
                  <w:sz w:val="22"/>
                </w:rPr>
              </m:ctrlPr>
            </m:sSubSup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text</m:t>
              </m:r>
              <m:ctrlPr>
                <w:rPr>
                  <w:rFonts w:ascii="Cambria Math" w:hAnsi="Cambria Math"/>
                  <w:sz w:val="22"/>
                </w:rPr>
              </m:ctrlPr>
            </m:sub>
            <m:sup>
              <m:r>
                <m:rPr/>
                <w:rPr>
                  <w:rFonts w:hint="default" w:ascii="Cambria Math" w:hAnsi="Cambria Math"/>
                  <w:sz w:val="22"/>
                </w:rPr>
                <m:t>i</m:t>
              </m:r>
              <m:ctrlPr>
                <w:rPr>
                  <w:rFonts w:ascii="Cambria Math" w:hAnsi="Cambria Math"/>
                  <w:sz w:val="22"/>
                </w:rPr>
              </m:ctrlPr>
            </m:sup>
          </m:sSubSup>
          <m:r>
            <m:rPr/>
            <w:rPr>
              <w:rFonts w:hint="default" w:ascii="Cambria Math" w:hAnsi="Cambria Math"/>
              <w:sz w:val="22"/>
            </w:rPr>
            <m:t>)=</m:t>
          </m:r>
          <m:f>
            <m:fPr>
              <m:ctrlPr>
                <w:rPr>
                  <w:rFonts w:hint="default" w:ascii="Cambria Math" w:hAnsi="Cambria Math"/>
                  <w:i/>
                  <w:sz w:val="22"/>
                </w:rPr>
              </m:ctrlPr>
            </m:fPr>
            <m:num>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img</m:t>
                  </m:r>
                  <m:ctrlPr>
                    <w:rPr>
                      <w:rFonts w:ascii="Cambria Math" w:hAnsi="Cambria Math"/>
                      <w:sz w:val="22"/>
                    </w:rPr>
                  </m:ctrlPr>
                </m:sub>
              </m:sSub>
              <m:r>
                <m:rPr/>
                <w:rPr>
                  <w:rFonts w:hint="default" w:ascii="Cambria Math" w:hAnsi="Cambria Math"/>
                  <w:sz w:val="22"/>
                </w:rPr>
                <m:t>⋅</m:t>
              </m:r>
              <m:sSubSup>
                <m:sSubSupPr>
                  <m:ctrlPr>
                    <w:rPr>
                      <w:rFonts w:hint="default" w:ascii="Cambria Math" w:hAnsi="Cambria Math"/>
                      <w:sz w:val="22"/>
                    </w:rPr>
                  </m:ctrlPr>
                </m:sSubSup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text</m:t>
                  </m:r>
                  <m:ctrlPr>
                    <w:rPr>
                      <w:rFonts w:ascii="Cambria Math" w:hAnsi="Cambria Math"/>
                      <w:sz w:val="22"/>
                    </w:rPr>
                  </m:ctrlPr>
                </m:sub>
                <m:sup>
                  <m:r>
                    <m:rPr/>
                    <w:rPr>
                      <w:rFonts w:hint="default" w:ascii="Cambria Math" w:hAnsi="Cambria Math"/>
                      <w:sz w:val="22"/>
                    </w:rPr>
                    <m:t>i</m:t>
                  </m:r>
                  <m:ctrlPr>
                    <w:rPr>
                      <w:rFonts w:ascii="Cambria Math" w:hAnsi="Cambria Math"/>
                      <w:sz w:val="22"/>
                    </w:rPr>
                  </m:ctrlPr>
                </m:sup>
              </m:sSubSup>
              <m:ctrlPr>
                <w:rPr>
                  <w:rFonts w:hint="default" w:ascii="Cambria Math" w:hAnsi="Cambria Math"/>
                  <w:sz w:val="22"/>
                </w:rPr>
              </m:ctrlPr>
            </m:num>
            <m:den>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img</m:t>
                  </m:r>
                  <m:ctrlPr>
                    <w:rPr>
                      <w:rFonts w:ascii="Cambria Math" w:hAnsi="Cambria Math"/>
                      <w:sz w:val="22"/>
                    </w:rPr>
                  </m:ctrlPr>
                </m:sub>
              </m:sSub>
              <m:r>
                <m:rPr/>
                <w:rPr>
                  <w:rFonts w:hint="default" w:ascii="Cambria Math" w:hAnsi="Cambria Math"/>
                  <w:sz w:val="22"/>
                </w:rPr>
                <m:t>||</m:t>
              </m:r>
              <m:sSubSup>
                <m:sSubSupPr>
                  <m:ctrlPr>
                    <w:rPr>
                      <w:rFonts w:hint="default" w:ascii="Cambria Math" w:hAnsi="Cambria Math"/>
                      <w:sz w:val="22"/>
                    </w:rPr>
                  </m:ctrlPr>
                </m:sSubSup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text</m:t>
                  </m:r>
                  <m:ctrlPr>
                    <w:rPr>
                      <w:rFonts w:ascii="Cambria Math" w:hAnsi="Cambria Math"/>
                      <w:sz w:val="22"/>
                    </w:rPr>
                  </m:ctrlPr>
                </m:sub>
                <m:sup>
                  <m:r>
                    <m:rPr/>
                    <w:rPr>
                      <w:rFonts w:hint="default" w:ascii="Cambria Math" w:hAnsi="Cambria Math"/>
                      <w:sz w:val="22"/>
                    </w:rPr>
                    <m:t>i</m:t>
                  </m:r>
                  <m:ctrlPr>
                    <w:rPr>
                      <w:rFonts w:ascii="Cambria Math" w:hAnsi="Cambria Math"/>
                      <w:sz w:val="22"/>
                    </w:rPr>
                  </m:ctrlPr>
                </m:sup>
              </m:sSubSup>
              <m:r>
                <m:rPr/>
                <w:rPr>
                  <w:rFonts w:hint="default" w:ascii="Cambria Math" w:hAnsi="Cambria Math"/>
                  <w:sz w:val="22"/>
                </w:rPr>
                <m:t>|</m:t>
              </m:r>
              <m:ctrlPr>
                <w:rPr>
                  <w:rFonts w:hint="default" w:ascii="Cambria Math" w:hAnsi="Cambria Math"/>
                  <w:sz w:val="22"/>
                </w:rPr>
              </m:ctrlPr>
            </m:den>
          </m:f>
        </m:oMath>
      </m:oMathPara>
    </w:p>
    <w:p w14:paraId="54BDFA59">
      <w:r>
        <w:t>In zero</w:t>
      </w:r>
      <w:r>
        <w:noBreakHyphen/>
      </w:r>
      <w:r>
        <w:t>shot inference, unseen classes are those whose verb</w:t>
      </w:r>
      <w:r>
        <w:rPr>
          <w:lang w:eastAsia="zh-Hans"/>
        </w:rPr>
        <w:t>-</w:t>
      </w:r>
      <w:r>
        <w:t>object combinations never appear in the training set. However, due to the shared verb semantics and object co</w:t>
      </w:r>
      <w:r>
        <w:noBreakHyphen/>
      </w:r>
      <w:r>
        <w:t>occurrence, the model tends to assign higher scores to seen classes even when the actual interaction is unseen. This </w:t>
      </w:r>
      <w:r>
        <w:rPr>
          <w:b/>
          <w:bCs/>
        </w:rPr>
        <w:t>seen</w:t>
      </w:r>
      <w:r>
        <w:rPr>
          <w:b/>
          <w:bCs/>
        </w:rPr>
        <w:noBreakHyphen/>
      </w:r>
      <w:r>
        <w:rPr>
          <w:b/>
          <w:bCs/>
        </w:rPr>
        <w:t>class bias</w:t>
      </w:r>
      <w:r>
        <w:t> severely degrades zero</w:t>
      </w:r>
      <w:r>
        <w:noBreakHyphen/>
      </w:r>
      <w:r>
        <w:t>shot performance.</w:t>
      </w:r>
    </w:p>
    <w:p w14:paraId="7641E334">
      <w:pPr>
        <w:rPr>
          <w:color w:val="FF0000"/>
          <w:sz w:val="24"/>
          <w:szCs w:val="28"/>
        </w:rPr>
      </w:pPr>
    </w:p>
    <w:p w14:paraId="06E72D6D">
      <w:pPr>
        <w:rPr>
          <w:b/>
          <w:bCs/>
          <w:color w:val="000000" w:themeColor="text1"/>
          <w14:textFill>
            <w14:solidFill>
              <w14:schemeClr w14:val="tx1"/>
            </w14:solidFill>
          </w14:textFill>
        </w:rPr>
      </w:pPr>
      <w:r>
        <w:rPr>
          <w:b/>
          <w:bCs/>
          <w:color w:val="000000" w:themeColor="text1"/>
          <w14:textFill>
            <w14:solidFill>
              <w14:schemeClr w14:val="tx1"/>
            </w14:solidFill>
          </w14:textFill>
        </w:rPr>
        <w:t>3.2 Zero-Shot Bias Analysis</w:t>
      </w:r>
    </w:p>
    <w:p w14:paraId="797E1D2A">
      <w:r>
        <w:t>We conduct a preliminary analysis on the HICO</w:t>
      </w:r>
      <w:r>
        <w:noBreakHyphen/>
      </w:r>
      <w:r>
        <w:t>det dataset under the rare first zero</w:t>
      </w:r>
      <w:r>
        <w:noBreakHyphen/>
      </w:r>
      <w:r>
        <w:t xml:space="preserve">shot setting </w:t>
      </w:r>
      <w:r>
        <w:rPr>
          <w:color w:val="000000" w:themeColor="text1"/>
          <w:vertAlign w:val="superscript"/>
          <w14:textFill>
            <w14:solidFill>
              <w14:schemeClr w14:val="tx1"/>
            </w14:solidFill>
          </w14:textFill>
        </w:rPr>
        <w:t>[4]</w:t>
      </w:r>
      <w:r>
        <w:t xml:space="preserve">. The model is trained only on seen classes, and we evaluate the score distributions for seen vs. unseen classes. </w:t>
      </w:r>
    </w:p>
    <w:p w14:paraId="57B18F89">
      <w:r>
        <w:rPr>
          <w:b/>
          <w:bCs/>
        </w:rPr>
        <w:t>Observation 1</w:t>
      </w:r>
      <w:r>
        <w:t xml:space="preserve"> Over</w:t>
      </w:r>
      <w:r>
        <w:rPr>
          <w:lang w:eastAsia="zh-Hans"/>
        </w:rPr>
        <w:t>-</w:t>
      </w:r>
      <w:r>
        <w:t xml:space="preserve">confidence on a few </w:t>
      </w:r>
      <w:r>
        <w:rPr>
          <w:rFonts w:hint="eastAsia" w:ascii="等线" w:hAnsi="等线" w:eastAsia="等线" w:cs="等线"/>
        </w:rPr>
        <w:t>“</w:t>
      </w:r>
      <w:r>
        <w:t>confusing</w:t>
      </w:r>
      <w:r>
        <w:rPr>
          <w:rFonts w:hint="eastAsia" w:ascii="等线" w:hAnsi="等线" w:eastAsia="等线" w:cs="等线"/>
        </w:rPr>
        <w:t>”</w:t>
      </w:r>
      <w:r>
        <w:t xml:space="preserve"> seen classes: Certain seen classes that share visual or semantic similarity with many unseen classes are repeatedly predicted with high confidence. For instance, the class </w:t>
      </w:r>
      <w:r>
        <w:rPr>
          <w:rFonts w:hint="eastAsia" w:ascii="等线" w:hAnsi="等线" w:eastAsia="等线" w:cs="等线"/>
        </w:rPr>
        <w:t>“</w:t>
      </w:r>
      <w:r>
        <w:t>eat</w:t>
      </w:r>
      <w:r>
        <w:rPr>
          <w:rFonts w:hint="eastAsia" w:ascii="等线" w:hAnsi="等线" w:eastAsia="等线" w:cs="等线"/>
        </w:rPr>
        <w:t>”</w:t>
      </w:r>
      <w:r>
        <w:t xml:space="preserve"> (index</w:t>
      </w:r>
      <w:r>
        <w:rPr>
          <w:rFonts w:cs="Times New Roman"/>
        </w:rPr>
        <w:t> </w:t>
      </w:r>
      <w:r>
        <w:t>162) and “hold” (index</w:t>
      </w:r>
      <w:r>
        <w:rPr>
          <w:rFonts w:cs="Times New Roman"/>
        </w:rPr>
        <w:t> </w:t>
      </w:r>
      <w:r>
        <w:t>277) appear as false positives for a large number of unseen interactions.</w:t>
      </w:r>
    </w:p>
    <w:p w14:paraId="10D6E61C">
      <w:r>
        <w:rPr>
          <w:b/>
          <w:bCs/>
        </w:rPr>
        <w:t>Observation 2</w:t>
      </w:r>
      <w:r>
        <w:t xml:space="preserve"> Score imbalance: The average logit for seen classes is higher than that for unseen classes. Even when an unseen interaction is correctly represented, its score is often suppressed by competing seen classes.</w:t>
      </w:r>
    </w:p>
    <w:p w14:paraId="1F467094">
      <w:r>
        <w:t>These observations motivate a post</w:t>
      </w:r>
      <w:r>
        <w:rPr>
          <w:lang w:eastAsia="zh-Hans"/>
        </w:rPr>
        <w:t>-</w:t>
      </w:r>
      <w:r>
        <w:t>processing strategy that does not alter the learned representations but merely re</w:t>
      </w:r>
      <w:r>
        <w:rPr>
          <w:rFonts w:hint="eastAsia" w:ascii="MS Gothic" w:hAnsi="MS Gothic" w:eastAsia="MS Gothic" w:cs="MS Gothic"/>
        </w:rPr>
        <w:t>‑</w:t>
      </w:r>
      <w:r>
        <w:t>calibrates the output scores.</w:t>
      </w:r>
    </w:p>
    <w:p w14:paraId="6C599E47">
      <w:pPr>
        <w:rPr>
          <w:color w:val="FF0000"/>
          <w:sz w:val="24"/>
          <w:szCs w:val="28"/>
        </w:rPr>
      </w:pPr>
    </w:p>
    <w:p w14:paraId="10DEA65B">
      <w:pPr>
        <w:rPr>
          <w:b/>
          <w:bCs/>
          <w:color w:val="000000" w:themeColor="text1"/>
          <w:szCs w:val="24"/>
          <w14:textFill>
            <w14:solidFill>
              <w14:schemeClr w14:val="tx1"/>
            </w14:solidFill>
          </w14:textFill>
        </w:rPr>
      </w:pPr>
      <w:r>
        <w:rPr>
          <w:b/>
          <w:bCs/>
          <w:color w:val="000000" w:themeColor="text1"/>
          <w:szCs w:val="24"/>
          <w14:textFill>
            <w14:solidFill>
              <w14:schemeClr w14:val="tx1"/>
            </w14:solidFill>
          </w14:textFill>
        </w:rPr>
        <w:t>3.3 Suppression-Boost Post-Processing Strategy</w:t>
      </w:r>
    </w:p>
    <w:p w14:paraId="017F073C">
      <w:r>
        <w:t xml:space="preserve">To mitigate the inherent seen-class bias observed in zero-shot HOI detection, we propose a lightweight, post-hoc calibration mechanism termed the </w:t>
      </w:r>
      <w:r>
        <w:rPr>
          <w:b/>
          <w:bCs/>
        </w:rPr>
        <w:t>Suppression-Boost (SB) strategy</w:t>
      </w:r>
      <w:r>
        <w:t>. Unlike methods that require expensive re-training, our SB strategy re-calibrates the model's confidence scores during inference through class-specific multiplicative rescaling.</w:t>
      </w:r>
    </w:p>
    <w:p w14:paraId="01453AB4">
      <w:pPr>
        <w:rPr>
          <w:b/>
          <w:bCs/>
        </w:rPr>
      </w:pPr>
      <w:r>
        <w:rPr>
          <w:b/>
          <w:bCs/>
        </w:rPr>
        <w:t>3.3.1 Problem Observation</w:t>
      </w:r>
    </w:p>
    <w:p w14:paraId="57E9BDD1">
      <w:r>
        <w:t xml:space="preserve">Through empirical analysis of the baseline model's predictions, we identify a systematic "over-claiming" issue: the model frequently assigns high confidence scores to seen interaction classes (e.g., </w:t>
      </w:r>
      <w:r>
        <w:rPr>
          <w:i/>
          <w:iCs/>
        </w:rPr>
        <w:t>hold</w:t>
      </w:r>
      <w:r>
        <w:t xml:space="preserve">, </w:t>
      </w:r>
      <w:r>
        <w:rPr>
          <w:i/>
          <w:iCs/>
        </w:rPr>
        <w:t>eat</w:t>
      </w:r>
      <w:r>
        <w:t>) even when the true interaction belongs to an unseen category. This bias stems from the unbalanced distribution of the training data, where seen classes dominate the embedding space.</w:t>
      </w:r>
    </w:p>
    <w:p w14:paraId="3D23E9A1">
      <w:pPr>
        <w:rPr>
          <w:b/>
          <w:bCs/>
        </w:rPr>
      </w:pPr>
      <w:r>
        <w:rPr>
          <w:b/>
          <w:bCs/>
        </w:rPr>
        <w:t>3.3.2 Multiplicative Score Calibration</w:t>
      </w:r>
    </w:p>
    <w:p w14:paraId="25C6A9E5">
      <w:r>
        <w:t xml:space="preserve">We calibrate the final HOI scores by applying a rescaling factor based on the class category (Seen vs. Unseen) and specific confusion patterns. Let </w:t>
      </w:r>
      <w:r>
        <w:rPr>
          <w:position w:val="-12"/>
        </w:rPr>
        <w:object>
          <v:shape id="_x0000_i1035" o:spt="75" type="#_x0000_t75" style="height:18.75pt;width:50.35pt;" o:ole="t" filled="f" o:preferrelative="t" stroked="f" coordsize="21600,21600">
            <v:path/>
            <v:fill on="f" focussize="0,0"/>
            <v:stroke on="f" joinstyle="miter"/>
            <v:imagedata r:id="rId26" o:title=""/>
            <o:lock v:ext="edit" aspectratio="t"/>
            <w10:wrap type="none"/>
            <w10:anchorlock/>
          </v:shape>
          <o:OLEObject Type="Embed" ProgID="Equation.AxMath" ShapeID="_x0000_i1035" DrawAspect="Content" ObjectID="_1468075735" r:id="rId25">
            <o:LockedField>false</o:LockedField>
          </o:OLEObject>
        </w:object>
      </w:r>
      <w:r>
        <w:t xml:space="preserve"> denote the initial probability score for the </w:t>
      </w:r>
      <w:r>
        <w:rPr>
          <w:position w:val="-12"/>
        </w:rPr>
        <w:object>
          <v:shape id="_x0000_i1036" o:spt="75" type="#_x0000_t75" style="height:17.9pt;width:6.65pt;" o:ole="t" filled="f" o:preferrelative="t" stroked="f" coordsize="21600,21600">
            <v:path/>
            <v:fill on="f" focussize="0,0"/>
            <v:stroke on="f" joinstyle="miter"/>
            <v:imagedata r:id="rId24" o:title=""/>
            <o:lock v:ext="edit" aspectratio="t"/>
            <w10:wrap type="none"/>
            <w10:anchorlock/>
          </v:shape>
          <o:OLEObject Type="Embed" ProgID="Equation.AxMath" ShapeID="_x0000_i1036" DrawAspect="Content" ObjectID="_1468075736" r:id="rId27">
            <o:LockedField>false</o:LockedField>
          </o:OLEObject>
        </w:object>
      </w:r>
      <w:r>
        <w:t xml:space="preserve">-th HOI class, where </w:t>
      </w:r>
      <w:r>
        <w:rPr>
          <w:position w:val="-12"/>
        </w:rPr>
        <w:object>
          <v:shape id="_x0000_i1037" o:spt="75" type="#_x0000_t75" style="height:18.75pt;width:23.3pt;" o:ole="t" filled="f" o:preferrelative="t" stroked="f" coordsize="21600,21600">
            <v:path/>
            <v:fill on="f" focussize="0,0"/>
            <v:stroke on="f" joinstyle="miter"/>
            <v:imagedata r:id="rId29" o:title=""/>
            <o:lock v:ext="edit" aspectratio="t"/>
            <w10:wrap type="none"/>
            <w10:anchorlock/>
          </v:shape>
          <o:OLEObject Type="Embed" ProgID="Equation.AxMath" ShapeID="_x0000_i1037" DrawAspect="Content" ObjectID="_1468075737" r:id="rId28">
            <o:LockedField>false</o:LockedField>
          </o:OLEObject>
        </w:object>
      </w:r>
      <w:r>
        <w:t xml:space="preserve"> is the sigmoid function. The calibrated score </w:t>
      </w:r>
      <w:r>
        <w:rPr>
          <w:position w:val="-12"/>
        </w:rPr>
        <w:object>
          <v:shape id="_x0000_i1038" o:spt="75" type="#_x0000_t75" style="height:17.9pt;width:12.5pt;" o:ole="t" filled="f" o:preferrelative="t" stroked="f" coordsize="21600,21600">
            <v:path/>
            <v:fill on="f" focussize="0,0"/>
            <v:stroke on="f" joinstyle="miter"/>
            <v:imagedata r:id="rId31" o:title=""/>
            <o:lock v:ext="edit" aspectratio="t"/>
            <w10:wrap type="none"/>
            <w10:anchorlock/>
          </v:shape>
          <o:OLEObject Type="Embed" ProgID="Equation.AxMath" ShapeID="_x0000_i1038" DrawAspect="Content" ObjectID="_1468075738" r:id="rId30">
            <o:LockedField>false</o:LockedField>
          </o:OLEObject>
        </w:object>
      </w:r>
      <w:r>
        <w:t xml:space="preserve"> is computed as follows:</w:t>
      </w:r>
    </w:p>
    <w:p w14:paraId="62DCFC69">
      <w:r>
        <w:t>Where:</w:t>
      </w:r>
    </w:p>
    <w:p w14:paraId="18DC2534">
      <w:pPr>
        <w:jc w:val="center"/>
      </w:pPr>
      <w:r>
        <w:rPr>
          <w:position w:val="-55"/>
        </w:rPr>
        <w:object>
          <v:shape id="_x0000_i1039" o:spt="75" type="#_x0000_t75" style="height:62pt;width:122.75pt;" o:ole="t" filled="f" o:preferrelative="t" stroked="f" coordsize="21600,21600">
            <v:path/>
            <v:fill on="f" focussize="0,0"/>
            <v:stroke on="f" joinstyle="miter"/>
            <v:imagedata r:id="rId33" o:title=""/>
            <o:lock v:ext="edit" aspectratio="t"/>
            <w10:wrap type="none"/>
            <w10:anchorlock/>
          </v:shape>
          <o:OLEObject Type="Embed" ProgID="Equation.AxMath" ShapeID="_x0000_i1039" DrawAspect="Content" ObjectID="_1468075739" r:id="rId32">
            <o:LockedField>false</o:LockedField>
          </o:OLEObject>
        </w:object>
      </w:r>
    </w:p>
    <w:p w14:paraId="52CC24D4">
      <w:r>
        <w:rPr>
          <w:position w:val="-12"/>
        </w:rPr>
        <w:object>
          <v:shape id="_x0000_i1040" o:spt="75" type="#_x0000_t75" style="height:17.9pt;width:25.4pt;" o:ole="t" filled="f" o:preferrelative="t" stroked="f" coordsize="21600,21600">
            <v:path/>
            <v:fill on="f" focussize="0,0"/>
            <v:stroke on="f" joinstyle="miter"/>
            <v:imagedata r:id="rId35" o:title=""/>
            <o:lock v:ext="edit" aspectratio="t"/>
            <w10:wrap type="none"/>
            <w10:anchorlock/>
          </v:shape>
          <o:OLEObject Type="Embed" ProgID="Equation.AxMath" ShapeID="_x0000_i1040" DrawAspect="Content" ObjectID="_1468075740" r:id="rId34">
            <o:LockedField>false</o:LockedField>
          </o:OLEObject>
        </w:object>
      </w:r>
      <w:r>
        <w:t xml:space="preserve"> represents the set of "confusing" seen classes that exhibit high false-positive rates. Based on our error analysis, we identify key indices and assign specific suppression factors</w:t>
      </w:r>
      <w:r>
        <w:rPr>
          <w:position w:val="-12"/>
        </w:rPr>
        <w:object>
          <v:shape id="_x0000_i1041" o:spt="75" type="#_x0000_t75" style="height:17.9pt;width:12.9pt;" o:ole="t" filled="f" o:preferrelative="t" stroked="f" coordsize="21600,21600">
            <v:path/>
            <v:fill on="f" focussize="0,0"/>
            <v:stroke on="f" joinstyle="miter"/>
            <v:imagedata r:id="rId37" o:title=""/>
            <o:lock v:ext="edit" aspectratio="t"/>
            <w10:wrap type="none"/>
            <w10:anchorlock/>
          </v:shape>
          <o:OLEObject Type="Embed" ProgID="Equation.AxMath" ShapeID="_x0000_i1041" DrawAspect="Content" ObjectID="_1468075741" r:id="rId36">
            <o:LockedField>false</o:LockedField>
          </o:OLEObject>
        </w:object>
      </w:r>
      <w:r>
        <w:t xml:space="preserve">. For instance, we set </w:t>
      </w:r>
      <w:r>
        <w:rPr>
          <w:position w:val="-12"/>
        </w:rPr>
        <w:object>
          <v:shape id="_x0000_i1042" o:spt="75" type="#_x0000_t75" style="height:17.9pt;width:55.75pt;" o:ole="t" filled="f" o:preferrelative="t" stroked="f" coordsize="21600,21600">
            <v:path/>
            <v:fill on="f" focussize="0,0"/>
            <v:stroke on="f" joinstyle="miter"/>
            <v:imagedata r:id="rId39" o:title=""/>
            <o:lock v:ext="edit" aspectratio="t"/>
            <w10:wrap type="none"/>
            <w10:anchorlock/>
          </v:shape>
          <o:OLEObject Type="Embed" ProgID="Equation.AxMath" ShapeID="_x0000_i1042" DrawAspect="Content" ObjectID="_1468075742" r:id="rId38">
            <o:LockedField>false</o:LockedField>
          </o:OLEObject>
        </w:object>
      </w:r>
      <w:r>
        <w:t xml:space="preserve"> and </w:t>
      </w:r>
      <w:r>
        <w:rPr>
          <w:position w:val="-12"/>
        </w:rPr>
        <w:object>
          <v:shape id="_x0000_i1043" o:spt="75" type="#_x0000_t75" style="height:17.9pt;width:62pt;" o:ole="t" filled="f" o:preferrelative="t" stroked="f" coordsize="21600,21600">
            <v:path/>
            <v:fill on="f" focussize="0,0"/>
            <v:stroke on="f" joinstyle="miter"/>
            <v:imagedata r:id="rId41" o:title=""/>
            <o:lock v:ext="edit" aspectratio="t"/>
            <w10:wrap type="none"/>
            <w10:anchorlock/>
          </v:shape>
          <o:OLEObject Type="Embed" ProgID="Equation.AxMath" ShapeID="_x0000_i1043" DrawAspect="Content" ObjectID="_1468075743" r:id="rId40">
            <o:LockedField>false</o:LockedField>
          </o:OLEObject>
        </w:object>
      </w:r>
      <w:r>
        <w:t>to significantly suppress high-frequency errors, while other identified indices {168, 276, 380, 598} are assigned a factor of 0.2.</w:t>
      </w:r>
    </w:p>
    <w:p w14:paraId="7CADCD4D">
      <w:r>
        <w:rPr>
          <w:position w:val="-12"/>
        </w:rPr>
        <w:object>
          <v:shape id="_x0000_i1044" o:spt="75" type="#_x0000_t75" style="height:17.9pt;width:34.15pt;" o:ole="t" filled="f" o:preferrelative="t" stroked="f" coordsize="21600,21600">
            <v:path/>
            <v:fill on="f" focussize="0,0"/>
            <v:stroke on="f" joinstyle="miter"/>
            <v:imagedata r:id="rId43" o:title=""/>
            <o:lock v:ext="edit" aspectratio="t"/>
            <w10:wrap type="none"/>
            <w10:anchorlock/>
          </v:shape>
          <o:OLEObject Type="Embed" ProgID="Equation.AxMath" ShapeID="_x0000_i1044" DrawAspect="Content" ObjectID="_1468075744" r:id="rId42">
            <o:LockedField>false</o:LockedField>
          </o:OLEObject>
        </w:object>
      </w:r>
      <w:r>
        <w:t xml:space="preserve"> denotes the set of zero-shot HOI classes. To encourage the model to prioritize these interactions, we apply a global boost factor </w:t>
      </w:r>
      <w:r>
        <w:rPr>
          <w:position w:val="-12"/>
        </w:rPr>
        <w:object>
          <v:shape id="_x0000_i1045" o:spt="75" type="#_x0000_t75" style="height:17.9pt;width:49.55pt;" o:ole="t" filled="f" o:preferrelative="t" stroked="f" coordsize="21600,21600">
            <v:path/>
            <v:fill on="f" focussize="0,0"/>
            <v:stroke on="f" joinstyle="miter"/>
            <v:imagedata r:id="rId45" o:title=""/>
            <o:lock v:ext="edit" aspectratio="t"/>
            <w10:wrap type="none"/>
            <w10:anchorlock/>
          </v:shape>
          <o:OLEObject Type="Embed" ProgID="Equation.AxMath" ShapeID="_x0000_i1045" DrawAspect="Content" ObjectID="_1468075745" r:id="rId44">
            <o:LockedField>false</o:LockedField>
          </o:OLEObject>
        </w:object>
      </w:r>
      <w:r>
        <w:t>.</w:t>
      </w:r>
    </w:p>
    <w:p w14:paraId="5D58F923">
      <w:pPr>
        <w:rPr>
          <w:rFonts w:hint="default" w:eastAsiaTheme="minorEastAsia"/>
          <w:color w:val="000000" w:themeColor="text1"/>
          <w:sz w:val="24"/>
          <w:szCs w:val="28"/>
          <w:lang w:val="en-US" w:eastAsia="zh-CN"/>
          <w14:textFill>
            <w14:solidFill>
              <w14:schemeClr w14:val="tx1"/>
            </w14:solidFill>
          </w14:textFill>
        </w:rPr>
      </w:pPr>
      <w:r>
        <w:t>This recalibration effectively reshapes the decision boundaries without altering the underlying feature representations. By selectively suppressing over-confident seen classes and marginally boosting unseen ones, the SB strategy significantly enhances the model's sensitivity to novel HOI categories while maintaining robust performance on seen data.</w:t>
      </w:r>
    </w:p>
    <w:p w14:paraId="70E5E1FA">
      <w:pPr>
        <w:rPr>
          <w:color w:val="FF0000"/>
          <w:sz w:val="24"/>
          <w:szCs w:val="28"/>
        </w:rPr>
      </w:pPr>
    </w:p>
    <w:p w14:paraId="34D879A7">
      <w:pPr>
        <w:rPr>
          <w:b/>
          <w:bCs/>
          <w:color w:val="000000" w:themeColor="text1"/>
          <w:szCs w:val="24"/>
          <w14:textFill>
            <w14:solidFill>
              <w14:schemeClr w14:val="tx1"/>
            </w14:solidFill>
          </w14:textFill>
        </w:rPr>
      </w:pPr>
      <w:r>
        <w:rPr>
          <w:b/>
          <w:bCs/>
          <w:color w:val="000000" w:themeColor="text1"/>
          <w:szCs w:val="24"/>
          <w14:textFill>
            <w14:solidFill>
              <w14:schemeClr w14:val="tx1"/>
            </w14:solidFill>
          </w14:textFill>
        </w:rPr>
        <w:t>3.4 Lightweight Semantic Adapter</w:t>
      </w:r>
    </w:p>
    <w:p w14:paraId="5F410EB5">
      <w:r>
        <w:rPr>
          <w:rFonts w:hint="eastAsia"/>
        </w:rPr>
        <w:t>To bridge the gap between general-purpose CLIP embeddings and task-specific HOI categories, we introduce a Parameter-Efficient Semantic Adapter with Low-Rank Adaptation (LoRA), which refines the output features from the frozen CLIP text encoder. This module captures nuanced semantic relationships between human actions and objects in HOI detection without fine-tuning the massive CLIP backbone parameters, while further reducing the number of trainable parameters via low-rank decomposition.</w:t>
      </w:r>
    </w:p>
    <w:p w14:paraId="26A32AA3">
      <w:pPr>
        <w:rPr>
          <w:b/>
          <w:bCs/>
          <w:color w:val="000000" w:themeColor="text1"/>
          <w:szCs w:val="24"/>
          <w14:textFill>
            <w14:solidFill>
              <w14:schemeClr w14:val="tx1"/>
            </w14:solidFill>
          </w14:textFill>
        </w:rPr>
      </w:pPr>
      <w:r>
        <w:rPr>
          <w:b/>
          <w:bCs/>
          <w:color w:val="000000" w:themeColor="text1"/>
          <w:szCs w:val="24"/>
          <w14:textFill>
            <w14:solidFill>
              <w14:schemeClr w14:val="tx1"/>
            </w14:solidFill>
          </w14:textFill>
        </w:rPr>
        <w:t>3.4.1 Architecture Design</w:t>
      </w:r>
    </w:p>
    <w:p w14:paraId="03EB48F0">
      <w:r>
        <w:t>The Semantic Adapter follows a bottleneck architecture with a residual connection</w:t>
      </w:r>
      <w:r>
        <w:rPr>
          <w:rFonts w:hint="eastAsia"/>
          <w:lang w:val="en-US" w:eastAsia="zh-CN"/>
        </w:rPr>
        <w:t xml:space="preserve"> </w:t>
      </w:r>
      <w:r>
        <w:rPr>
          <w:rFonts w:hint="eastAsia"/>
        </w:rPr>
        <w:t>and integrates a LoRA layer to enhance parameter efficiency</w:t>
      </w:r>
      <w:r>
        <w:t xml:space="preserve">. For a given input text embedding </w:t>
      </w:r>
      <w:r>
        <w:rPr>
          <w:position w:val="-11"/>
        </w:rPr>
        <w:object>
          <v:shape id="_x0000_i1046" o:spt="75" type="#_x0000_t75" style="height:16.25pt;width:29.95pt;" o:ole="t" filled="f" o:preferrelative="t" stroked="f" coordsize="21600,21600">
            <v:path/>
            <v:fill on="f" focussize="0,0"/>
            <v:stroke on="f" joinstyle="miter"/>
            <v:imagedata r:id="rId47" o:title=""/>
            <o:lock v:ext="edit" aspectratio="t"/>
            <w10:wrap type="none"/>
            <w10:anchorlock/>
          </v:shape>
          <o:OLEObject Type="Embed" ProgID="Equation.AxMath" ShapeID="_x0000_i1046" DrawAspect="Content" ObjectID="_1468075746" r:id="rId46">
            <o:LockedField>false</o:LockedField>
          </o:OLEObject>
        </w:object>
      </w:r>
      <w:r>
        <w:t xml:space="preserve"> generated </w:t>
      </w:r>
      <w:r>
        <w:rPr>
          <w:rFonts w:hint="eastAsia"/>
        </w:rPr>
        <w:t xml:space="preserve">by the frozen CLIP text encoder (where </w:t>
      </w:r>
      <m:oMath>
        <m:r>
          <m:rPr/>
          <w:rPr>
            <w:rFonts w:hint="default" w:ascii="Cambria Math" w:hAnsi="Cambria Math"/>
            <w:lang w:val="en-US" w:eastAsia="zh-CN"/>
          </w:rPr>
          <m:t>d</m:t>
        </m:r>
      </m:oMath>
      <w:r>
        <w:rPr>
          <w:rFonts w:hint="eastAsia"/>
        </w:rPr>
        <w:t xml:space="preserve"> denotes the dimension of CLIP text features, set to 512 in our implementation), the adapted feature </w:t>
      </w:r>
      <m:oMath>
        <m:sSup>
          <m:sSupPr>
            <m:ctrlPr>
              <m:rPr/>
              <w:rPr>
                <w:rFonts w:hint="default" w:ascii="Cambria Math" w:hAnsi="Cambria Math"/>
                <w:i/>
                <w:lang w:val="en-US" w:eastAsia="zh-CN"/>
              </w:rPr>
            </m:ctrlPr>
          </m:sSupPr>
          <m:e>
            <m:r>
              <m:rPr/>
              <w:rPr>
                <w:rFonts w:hint="default" w:ascii="Cambria Math" w:hAnsi="Cambria Math"/>
                <w:lang w:val="en-US" w:eastAsia="zh-CN"/>
              </w:rPr>
              <m:t>t</m:t>
            </m:r>
            <m:ctrlPr>
              <m:rPr/>
              <w:rPr>
                <w:rFonts w:hint="default" w:ascii="Cambria Math" w:hAnsi="Cambria Math"/>
                <w:i/>
                <w:lang w:val="en-US" w:eastAsia="zh-CN"/>
              </w:rPr>
            </m:ctrlPr>
          </m:e>
          <m:sup>
            <m:r>
              <m:rPr/>
              <w:rPr>
                <w:rFonts w:hint="default" w:ascii="Cambria Math" w:hAnsi="Cambria Math"/>
                <w:lang w:val="en-US" w:eastAsia="zh-CN"/>
              </w:rPr>
              <m:t>'</m:t>
            </m:r>
            <m:ctrlPr>
              <m:rPr/>
              <w:rPr>
                <w:rFonts w:hint="default" w:ascii="Cambria Math" w:hAnsi="Cambria Math"/>
                <w:i/>
                <w:lang w:val="en-US" w:eastAsia="zh-CN"/>
              </w:rPr>
            </m:ctrlPr>
          </m:sup>
        </m:sSup>
      </m:oMath>
      <w:r>
        <w:rPr>
          <w:rFonts w:hint="eastAsia"/>
        </w:rPr>
        <w:t xml:space="preserve"> is computed as:</w:t>
      </w:r>
    </w:p>
    <w:p w14:paraId="750177DE">
      <w:pPr>
        <w:jc w:val="center"/>
      </w:pPr>
      <m:oMathPara>
        <m:oMath>
          <m:r>
            <m:rPr/>
            <w:rPr>
              <w:rFonts w:hint="default" w:ascii="Cambria Math" w:hAnsi="Cambria Math"/>
              <w:sz w:val="22"/>
            </w:rPr>
            <m:t>t'=t+</m:t>
          </m:r>
          <m:sSub>
            <m:sSubPr>
              <m:ctrlPr>
                <w:rPr>
                  <w:rFonts w:hint="default" w:ascii="Cambria Math" w:hAnsi="Cambria Math"/>
                  <w:sz w:val="22"/>
                </w:rPr>
              </m:ctrlPr>
            </m:sSubPr>
            <m:e>
              <m:r>
                <m:rPr/>
                <w:rPr>
                  <w:rFonts w:hint="default" w:ascii="Cambria Math" w:hAnsi="Cambria Math"/>
                  <w:sz w:val="22"/>
                </w:rPr>
                <m:t>W</m:t>
              </m:r>
              <m:ctrlPr>
                <w:rPr>
                  <w:rFonts w:ascii="Cambria Math" w:hAnsi="Cambria Math"/>
                  <w:sz w:val="22"/>
                </w:rPr>
              </m:ctrlPr>
            </m:e>
            <m:sub>
              <m:r>
                <m:rPr/>
                <w:rPr>
                  <w:rFonts w:hint="default" w:ascii="Cambria Math" w:hAnsi="Cambria Math"/>
                  <w:sz w:val="22"/>
                </w:rPr>
                <m:t>up</m:t>
              </m:r>
              <m:ctrlPr>
                <w:rPr>
                  <w:rFonts w:ascii="Cambria Math" w:hAnsi="Cambria Math"/>
                  <w:sz w:val="22"/>
                </w:rPr>
              </m:ctrlPr>
            </m:sub>
          </m:sSub>
          <m:r>
            <m:rPr/>
            <w:rPr>
              <w:rFonts w:hint="default" w:ascii="Cambria Math" w:hAnsi="Cambria Math"/>
              <w:sz w:val="22"/>
            </w:rPr>
            <m:t>⋅</m:t>
          </m:r>
          <m:r>
            <m:rPr/>
            <w:rPr>
              <w:rFonts w:hint="default" w:ascii="Cambria Math" w:hAnsi="Cambria Math"/>
              <w:sz w:val="22"/>
              <w:lang w:val="en-US" w:eastAsia="zh-CN"/>
            </w:rPr>
            <m:t>GELU(LoRA</m:t>
          </m:r>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W</m:t>
              </m:r>
              <m:ctrlPr>
                <w:rPr>
                  <w:rFonts w:ascii="Cambria Math" w:hAnsi="Cambria Math"/>
                  <w:sz w:val="22"/>
                </w:rPr>
              </m:ctrlPr>
            </m:e>
            <m:sub>
              <m:r>
                <m:rPr/>
                <w:rPr>
                  <w:rFonts w:hint="default" w:ascii="Cambria Math" w:hAnsi="Cambria Math"/>
                  <w:sz w:val="22"/>
                </w:rPr>
                <m:t>down</m:t>
              </m:r>
              <m:ctrlPr>
                <w:rPr>
                  <w:rFonts w:ascii="Cambria Math" w:hAnsi="Cambria Math"/>
                  <w:sz w:val="22"/>
                </w:rPr>
              </m:ctrlPr>
            </m:sub>
          </m:sSub>
          <m:r>
            <m:rPr/>
            <w:rPr>
              <w:rFonts w:hint="default" w:ascii="Cambria Math" w:hAnsi="Cambria Math"/>
              <w:sz w:val="22"/>
            </w:rPr>
            <m:t>⋅LN(t)</m:t>
          </m:r>
          <m:r>
            <m:rPr/>
            <w:rPr>
              <w:rFonts w:hint="default" w:ascii="Cambria Math" w:hAnsi="Cambria Math"/>
              <w:sz w:val="22"/>
              <w:lang w:val="en-US" w:eastAsia="zh-CN"/>
            </w:rPr>
            <m:t>)</m:t>
          </m:r>
          <m:r>
            <m:rPr/>
            <w:rPr>
              <w:rFonts w:hint="default" w:ascii="Cambria Math" w:hAnsi="Cambria Math"/>
              <w:sz w:val="22"/>
            </w:rPr>
            <m:t>)</m:t>
          </m:r>
        </m:oMath>
      </m:oMathPara>
    </w:p>
    <w:p w14:paraId="29AA41B6">
      <w:r>
        <w:t>where:</w:t>
      </w:r>
    </w:p>
    <w:p w14:paraId="12A4B561">
      <w:pPr>
        <w:pStyle w:val="8"/>
        <w:numPr>
          <w:ilvl w:val="0"/>
          <w:numId w:val="1"/>
        </w:numPr>
        <w:ind w:firstLineChars="0"/>
      </w:pPr>
      <m:oMath>
        <m:r>
          <m:rPr/>
          <w:rPr>
            <w:rFonts w:hint="default" w:ascii="Cambria Math" w:hAnsi="Cambria Math"/>
            <w:sz w:val="22"/>
          </w:rPr>
          <m:t>LN(⋅)</m:t>
        </m:r>
      </m:oMath>
      <w:r>
        <w:t xml:space="preserve"> denotes the Layer Normalization applied to the input features to stabilize the optimization process.</w:t>
      </w:r>
    </w:p>
    <w:p w14:paraId="490D2E73">
      <w:pPr>
        <w:pStyle w:val="8"/>
        <w:numPr>
          <w:ilvl w:val="0"/>
          <w:numId w:val="1"/>
        </w:numPr>
        <w:ind w:firstLineChars="0"/>
      </w:pPr>
      <w:r>
        <w:rPr>
          <w:position w:val="-11"/>
        </w:rPr>
        <w:object>
          <v:shape id="_x0000_i1049" o:spt="75" type="#_x0000_t75" style="height:17.5pt;width:62.85pt;" o:ole="t" filled="f" o:preferrelative="t" stroked="f" coordsize="21600,21600">
            <v:path/>
            <v:fill on="f" focussize="0,0"/>
            <v:stroke on="f" joinstyle="miter"/>
            <v:imagedata r:id="rId49" o:title=""/>
            <o:lock v:ext="edit" aspectratio="t"/>
            <w10:wrap type="none"/>
            <w10:anchorlock/>
          </v:shape>
          <o:OLEObject Type="Embed" ProgID="Equation.AxMath" ShapeID="_x0000_i1049" DrawAspect="Content" ObjectID="_1468075747" r:id="rId48">
            <o:LockedField>false</o:LockedField>
          </o:OLEObject>
        </w:object>
      </w:r>
      <w:r>
        <w:t xml:space="preserve">and </w:t>
      </w:r>
      <w:r>
        <w:rPr>
          <w:position w:val="-11"/>
        </w:rPr>
        <w:object>
          <v:shape id="_x0000_i1050" o:spt="75" type="#_x0000_t75" style="height:17.5pt;width:54.95pt;" o:ole="t" filled="f" o:preferrelative="t" stroked="f" coordsize="21600,21600">
            <v:path/>
            <v:fill on="f" focussize="0,0"/>
            <v:stroke on="f" joinstyle="miter"/>
            <v:imagedata r:id="rId51" o:title=""/>
            <o:lock v:ext="edit" aspectratio="t"/>
            <w10:wrap type="none"/>
            <w10:anchorlock/>
          </v:shape>
          <o:OLEObject Type="Embed" ProgID="Equation.AxMath" ShapeID="_x0000_i1050" DrawAspect="Content" ObjectID="_1468075748" r:id="rId50">
            <o:LockedField>false</o:LockedField>
          </o:OLEObject>
        </w:object>
      </w:r>
      <w:r>
        <w:t xml:space="preserve"> are the weight matrices of two linear projection layers without bias terms, where </w:t>
      </w:r>
      <w:r>
        <w:rPr>
          <w:rFonts w:hint="eastAsia"/>
        </w:rPr>
        <w:t>r</w:t>
      </w:r>
      <w:r>
        <w:t xml:space="preserve"> is the bottleneck dimension (set to 64 in our implementation).</w:t>
      </w:r>
    </w:p>
    <w:p w14:paraId="28CFEDC1">
      <w:pPr>
        <w:pStyle w:val="8"/>
        <w:numPr>
          <w:ilvl w:val="0"/>
          <w:numId w:val="1"/>
        </w:numPr>
        <w:ind w:firstLineChars="0"/>
      </w:pPr>
      <m:oMath>
        <m:r>
          <m:rPr/>
          <w:rPr>
            <w:rFonts w:hint="default" w:ascii="Cambria Math" w:hAnsi="Cambria Math"/>
            <w:sz w:val="22"/>
            <w:lang w:val="en-US" w:eastAsia="zh-CN"/>
          </w:rPr>
          <m:t>GELU</m:t>
        </m:r>
        <m:r>
          <m:rPr/>
          <w:rPr>
            <w:rFonts w:hint="default" w:ascii="Cambria Math" w:hAnsi="Cambria Math"/>
            <w:sz w:val="22"/>
          </w:rPr>
          <m:t>(⋅)</m:t>
        </m:r>
      </m:oMath>
      <w:r>
        <m:rPr/>
        <w:rPr>
          <w:rFonts w:hint="eastAsia" w:hAnsi="Cambria Math"/>
          <w:i w:val="0"/>
          <w:sz w:val="22"/>
          <w:lang w:val="en-US" w:eastAsia="zh-CN"/>
        </w:rPr>
        <w:t xml:space="preserve"> </w:t>
      </w:r>
      <w:r>
        <w:rPr>
          <w:lang w:val="en-US" w:eastAsia="zh-CN"/>
        </w:rPr>
        <w:t>Gaussian Error Linear Unit activation function, which provides smoother non-linearity compared to ReLU and better fits the Transformer-based CLIP text encoder;</w:t>
      </w:r>
    </w:p>
    <w:p w14:paraId="5CB9D52F">
      <w:pPr>
        <w:pStyle w:val="8"/>
        <w:numPr>
          <w:ilvl w:val="0"/>
          <w:numId w:val="1"/>
        </w:numPr>
        <w:ind w:firstLineChars="0"/>
      </w:pPr>
      <m:oMath>
        <m:r>
          <m:rPr/>
          <w:rPr>
            <w:rFonts w:hint="default" w:ascii="Cambria Math" w:hAnsi="Cambria Math"/>
            <w:sz w:val="22"/>
          </w:rPr>
          <m:t>L</m:t>
        </m:r>
        <m:r>
          <m:rPr/>
          <w:rPr>
            <w:rFonts w:hint="default" w:ascii="Cambria Math" w:hAnsi="Cambria Math"/>
            <w:sz w:val="22"/>
            <w:lang w:val="en-US" w:eastAsia="zh-CN"/>
          </w:rPr>
          <m:t>oRA</m:t>
        </m:r>
        <m:r>
          <m:rPr/>
          <w:rPr>
            <w:rFonts w:hint="default" w:ascii="Cambria Math" w:hAnsi="Cambria Math"/>
            <w:sz w:val="22"/>
          </w:rPr>
          <m:t>(⋅)</m:t>
        </m:r>
      </m:oMath>
      <w:r>
        <m:rPr/>
        <w:rPr>
          <w:rFonts w:hint="eastAsia" w:hAnsi="Cambria Math"/>
          <w:i w:val="0"/>
          <w:sz w:val="22"/>
          <w:lang w:val="en-US" w:eastAsia="zh-CN"/>
        </w:rPr>
        <w:t xml:space="preserve"> </w:t>
      </w:r>
      <w:r>
        <w:rPr>
          <w:lang w:val="en-US" w:eastAsia="zh-CN"/>
        </w:rPr>
        <w:t>A low-rank adaptation layer that decomposes the full-rank transformation in the bottleneck space into two small matrices A∈Rk×r and B∈Rr×k (where k is the rank, set to 4 in our implementation). The LoRA transformation is scaled by α/k (with α=16) to balance the output magnitude:</w:t>
      </w:r>
    </w:p>
    <w:p w14:paraId="096A656B">
      <w:pPr>
        <w:pStyle w:val="8"/>
        <w:numPr>
          <w:numId w:val="0"/>
        </w:numPr>
        <w:ind w:leftChars="0"/>
        <m:rPr/>
        <w:rPr>
          <w:rFonts w:hint="default" w:hAnsi="Cambria Math" w:cs="Cambria Math"/>
          <w:i w:val="0"/>
          <w:sz w:val="22"/>
          <w:lang w:val="en-US" w:eastAsia="zh-CN"/>
        </w:rPr>
      </w:pPr>
      <m:oMathPara>
        <m:oMath>
          <m:r>
            <m:rPr/>
            <w:rPr>
              <w:rFonts w:hint="default" w:ascii="Cambria Math" w:hAnsi="Cambria Math"/>
              <w:sz w:val="22"/>
            </w:rPr>
            <m:t>L</m:t>
          </m:r>
          <m:r>
            <m:rPr/>
            <w:rPr>
              <w:rFonts w:hint="default" w:ascii="Cambria Math" w:hAnsi="Cambria Math"/>
              <w:sz w:val="22"/>
              <w:lang w:val="en-US" w:eastAsia="zh-CN"/>
            </w:rPr>
            <m:t>oRA</m:t>
          </m:r>
          <m:r>
            <m:rPr/>
            <w:rPr>
              <w:rFonts w:hint="default" w:ascii="Cambria Math" w:hAnsi="Cambria Math"/>
              <w:sz w:val="22"/>
            </w:rPr>
            <m:t>(⋅)</m:t>
          </m:r>
          <m:r>
            <m:rPr/>
            <w:rPr>
              <w:rFonts w:hint="default" w:ascii="Cambria Math" w:hAnsi="Cambria Math"/>
              <w:sz w:val="22"/>
              <w:lang w:val="en-US" w:eastAsia="zh-CN"/>
            </w:rPr>
            <m:t>=</m:t>
          </m:r>
          <m:f>
            <m:fPr>
              <m:ctrlPr>
                <m:rPr/>
                <w:rPr>
                  <w:rFonts w:hint="default" w:ascii="Cambria Math" w:hAnsi="Cambria Math"/>
                  <w:i/>
                  <w:sz w:val="22"/>
                  <w:lang w:val="en-US" w:eastAsia="zh-CN"/>
                </w:rPr>
              </m:ctrlPr>
            </m:fPr>
            <m:num>
              <m:r>
                <m:rPr/>
                <w:rPr>
                  <w:rFonts w:ascii="Cambria Math" w:hAnsi="Cambria Math"/>
                  <w:sz w:val="22"/>
                  <w:lang w:val="en-US"/>
                </w:rPr>
                <m:t>α</m:t>
              </m:r>
              <m:ctrlPr>
                <m:rPr/>
                <w:rPr>
                  <w:rFonts w:hint="default" w:ascii="Cambria Math" w:hAnsi="Cambria Math"/>
                  <w:i/>
                  <w:sz w:val="22"/>
                  <w:lang w:val="en-US" w:eastAsia="zh-CN"/>
                </w:rPr>
              </m:ctrlPr>
            </m:num>
            <m:den>
              <m:r>
                <m:rPr/>
                <w:rPr>
                  <w:rFonts w:hint="default" w:ascii="Cambria Math" w:hAnsi="Cambria Math"/>
                  <w:sz w:val="22"/>
                  <w:lang w:val="en-US" w:eastAsia="zh-CN"/>
                </w:rPr>
                <m:t>k</m:t>
              </m:r>
              <m:ctrlPr>
                <m:rPr/>
                <w:rPr>
                  <w:rFonts w:hint="default" w:ascii="Cambria Math" w:hAnsi="Cambria Math"/>
                  <w:i/>
                  <w:sz w:val="22"/>
                  <w:lang w:val="en-US" w:eastAsia="zh-CN"/>
                </w:rPr>
              </m:ctrlPr>
            </m:den>
          </m:f>
          <m:r>
            <m:rPr/>
            <w:rPr>
              <w:rFonts w:ascii="Cambria Math" w:hAnsi="Cambria Math"/>
              <w:sz w:val="22"/>
              <w:lang w:val="en-US"/>
            </w:rPr>
            <m:t>⋅</m:t>
          </m:r>
          <m:r>
            <m:rPr/>
            <w:rPr>
              <w:rFonts w:hint="default" w:ascii="Cambria Math" w:hAnsi="Cambria Math"/>
              <w:sz w:val="22"/>
              <w:lang w:val="en-US" w:eastAsia="zh-CN"/>
            </w:rPr>
            <m:t>B</m:t>
          </m:r>
          <m:r>
            <m:rPr/>
            <w:rPr>
              <w:rFonts w:hint="default" w:ascii="Cambria Math" w:hAnsi="Cambria Math" w:cs="Cambria Math"/>
              <w:sz w:val="22"/>
              <w:lang w:val="en-US" w:eastAsia="zh-CN"/>
            </w:rPr>
            <m:t>⋅A⋅x</m:t>
          </m:r>
        </m:oMath>
      </m:oMathPara>
    </w:p>
    <w:p w14:paraId="524D803C">
      <w:pPr>
        <w:pStyle w:val="8"/>
        <w:numPr>
          <w:ilvl w:val="0"/>
          <w:numId w:val="1"/>
        </w:numPr>
        <w:ind w:firstLineChars="0"/>
        <m:rPr/>
        <w:rPr>
          <w:rFonts w:hint="default"/>
          <w:lang w:val="en-US" w:eastAsia="zh-CN"/>
        </w:rPr>
      </w:pPr>
      <w:r>
        <m:rPr/>
        <w:rPr>
          <w:rFonts w:hint="default"/>
          <w:lang w:val="en-US" w:eastAsia="zh-CN"/>
        </w:rPr>
        <w:t>0.1: A residual scaling factor to control the contribution of the adapter branch and preserve the original CLIP semantic space;</w:t>
      </w:r>
    </w:p>
    <w:p w14:paraId="7486EB59">
      <w:pPr>
        <w:pStyle w:val="8"/>
        <w:numPr>
          <w:ilvl w:val="0"/>
          <w:numId w:val="1"/>
        </w:numPr>
        <w:ind w:firstLineChars="0"/>
        <m:rPr/>
        <w:rPr>
          <w:rFonts w:hint="default" w:hAnsi="Cambria Math" w:cs="Cambria Math"/>
          <w:i w:val="0"/>
          <w:sz w:val="22"/>
          <w:lang w:val="en-US" w:eastAsia="zh-CN"/>
        </w:rPr>
      </w:pPr>
      <w:r>
        <m:rPr/>
        <w:rPr>
          <w:rFonts w:hint="default"/>
          <w:lang w:val="en-US" w:eastAsia="zh-CN"/>
        </w:rPr>
        <w:t>Residual connection: The original CLIP text embedding</w:t>
      </w:r>
      <w:r>
        <m:rPr/>
        <w:rPr>
          <w:rFonts w:hint="eastAsia"/>
          <w:lang w:val="en-US" w:eastAsia="zh-CN"/>
        </w:rPr>
        <w:t xml:space="preserve"> </w:t>
      </w:r>
      <m:oMath>
        <m:r>
          <m:rPr/>
          <w:rPr>
            <w:rFonts w:hint="default" w:ascii="Cambria Math" w:hAnsi="Cambria Math"/>
            <w:sz w:val="22"/>
            <w:lang w:val="en-US" w:eastAsia="zh-CN"/>
          </w:rPr>
          <m:t>t</m:t>
        </m:r>
      </m:oMath>
      <w:r>
        <m:rPr/>
        <w:rPr>
          <w:rFonts w:hint="default"/>
          <w:lang w:val="en-US" w:eastAsia="zh-CN"/>
        </w:rPr>
        <w:t xml:space="preserve">is retained to ensure the adapter only learns </w:t>
      </w:r>
      <w:r>
        <m:rPr/>
        <w:rPr>
          <w:rFonts w:hint="default" w:hAnsi="Cambria Math" w:cs="Cambria Math"/>
          <w:i w:val="0"/>
          <w:sz w:val="22"/>
          <w:lang w:val="en-US" w:eastAsia="zh-CN"/>
        </w:rPr>
        <w:t>task-specific offsets without disrupting the pre-trained semantic knowledge</w:t>
      </w:r>
    </w:p>
    <w:p w14:paraId="048E251A">
      <w:pPr>
        <w:pStyle w:val="8"/>
        <w:numPr>
          <w:numId w:val="0"/>
        </w:numPr>
        <w:ind w:leftChars="0"/>
        <m:rPr/>
        <w:rPr>
          <w:rFonts w:hint="eastAsia" w:hAnsi="Cambria Math" w:cs="Cambria Math"/>
          <w:i w:val="0"/>
          <w:sz w:val="22"/>
          <w:lang w:val="en-US" w:eastAsia="zh-CN"/>
        </w:rPr>
      </w:pPr>
    </w:p>
    <w:p w14:paraId="1FCD6261">
      <w:pPr>
        <w:rPr>
          <w:b/>
          <w:bCs/>
        </w:rPr>
      </w:pPr>
      <w:r>
        <w:rPr>
          <w:b/>
          <w:bCs/>
        </w:rPr>
        <w:t>3.4.2 Zero-initialized Residual Learning</w:t>
      </w:r>
    </w:p>
    <w:p w14:paraId="3ABE4C0B">
      <w:r>
        <w:t xml:space="preserve">A key feature of our adapter is the initialization strategy of the up-projection layer. Specifically, we initialize </w:t>
      </w:r>
      <w:r>
        <w:rPr>
          <w:position w:val="-11"/>
        </w:rPr>
        <w:object>
          <v:shape id="_x0000_i1052" o:spt="75" type="#_x0000_t75" style="height:16.65pt;width:19.55pt;" o:ole="t" filled="f" o:preferrelative="t" stroked="f" coordsize="21600,21600">
            <v:path/>
            <v:fill on="f" focussize="0,0"/>
            <v:stroke on="f" joinstyle="miter"/>
            <v:imagedata r:id="rId53" o:title=""/>
            <o:lock v:ext="edit" aspectratio="t"/>
            <w10:wrap type="none"/>
            <w10:anchorlock/>
          </v:shape>
          <o:OLEObject Type="Embed" ProgID="Equation.AxMath" ShapeID="_x0000_i1052" DrawAspect="Content" ObjectID="_1468075749" r:id="rId52">
            <o:LockedField>false</o:LockedField>
          </o:OLEObject>
        </w:object>
      </w:r>
      <w:r>
        <w:t xml:space="preserve"> with zeros:</w:t>
      </w:r>
    </w:p>
    <w:p w14:paraId="392994FD">
      <w:pPr>
        <w:jc w:val="center"/>
      </w:pPr>
      <w:r>
        <w:rPr>
          <w:position w:val="-11"/>
        </w:rPr>
        <w:object>
          <v:shape id="_x0000_i1053" o:spt="75" type="#_x0000_t75" style="height:16.65pt;width:42.05pt;" o:ole="t" filled="f" o:preferrelative="t" stroked="f" coordsize="21600,21600">
            <v:path/>
            <v:fill on="f" focussize="0,0"/>
            <v:stroke on="f" joinstyle="miter"/>
            <v:imagedata r:id="rId55" o:title=""/>
            <o:lock v:ext="edit" aspectratio="t"/>
            <w10:wrap type="none"/>
            <w10:anchorlock/>
          </v:shape>
          <o:OLEObject Type="Embed" ProgID="Equation.AxMath" ShapeID="_x0000_i1053" DrawAspect="Content" ObjectID="_1468075750" r:id="rId54">
            <o:LockedField>false</o:LockedField>
          </o:OLEObject>
        </w:object>
      </w:r>
    </w:p>
    <w:p w14:paraId="67F8F09A">
      <w:r>
        <w:t xml:space="preserve">This initialization ensures that at the beginning of the training phase, the output of the adapter branch is zero, meaning </w:t>
      </w:r>
      <w:r>
        <w:rPr>
          <w:position w:val="-11"/>
        </w:rPr>
        <w:object>
          <v:shape id="_x0000_i1054" o:spt="75" type="#_x0000_t75" style="height:16.65pt;width:26.65pt;" o:ole="t" filled="f" o:preferrelative="t" stroked="f" coordsize="21600,21600">
            <v:path/>
            <v:fill on="f" focussize="0,0"/>
            <v:stroke on="f" joinstyle="miter"/>
            <v:imagedata r:id="rId57" o:title=""/>
            <o:lock v:ext="edit" aspectratio="t"/>
            <w10:wrap type="none"/>
            <w10:anchorlock/>
          </v:shape>
          <o:OLEObject Type="Embed" ProgID="Equation.AxMath" ShapeID="_x0000_i1054" DrawAspect="Content" ObjectID="_1468075751" r:id="rId56">
            <o:LockedField>false</o:LockedField>
          </o:OLEObject>
        </w:object>
      </w:r>
      <w:r>
        <w:t>. This property preserves the high-quality zero-shot capabilities of the pretrained CLIP model, allowing the adapter to progressively learn task-specific offsets without disrupting the original semantic space.</w:t>
      </w:r>
    </w:p>
    <w:p w14:paraId="4AD3599E">
      <w:pPr>
        <w:rPr>
          <w:b/>
          <w:bCs/>
        </w:rPr>
      </w:pPr>
      <w:r>
        <w:rPr>
          <w:b/>
          <w:bCs/>
        </w:rPr>
        <w:t>3.4.3 Parameter Efficiency and Training</w:t>
      </w:r>
    </w:p>
    <w:p w14:paraId="3AD5D855">
      <w:pPr>
        <w:rPr>
          <w:rFonts w:hint="default" w:eastAsiaTheme="minorEastAsia"/>
          <w:lang w:val="en-US" w:eastAsia="zh-CN"/>
        </w:rPr>
      </w:pPr>
      <w:r>
        <w:t xml:space="preserve">By setting the bottleneck dimension r=64 and the feature dimension d=768, the total number of trainable parameters in the adapter is approximately </w:t>
      </w:r>
      <w:r>
        <w:rPr>
          <w:position w:val="-11"/>
        </w:rPr>
        <w:object>
          <v:shape id="_x0000_i1056" o:spt="75" type="#_x0000_t75" style="height:16.25pt;width:77pt;" o:ole="t" filled="f" o:preferrelative="t" stroked="f" coordsize="21600,21600">
            <v:path/>
            <v:fill on="f" focussize="0,0"/>
            <v:stroke on="f" joinstyle="miter"/>
            <v:imagedata r:id="rId59" o:title=""/>
            <o:lock v:ext="edit" aspectratio="t"/>
            <w10:wrap type="none"/>
            <w10:anchorlock/>
          </v:shape>
          <o:OLEObject Type="Embed" ProgID="Equation.AxMath" ShapeID="_x0000_i1056" DrawAspect="Content" ObjectID="_1468075752" r:id="rId58">
            <o:LockedField>false</o:LockedField>
          </o:OLEObject>
        </w:object>
      </w:r>
      <w:r>
        <w:t>. This represents a negligible fraction of the total model parameters, enabling fast and stable convergence. During training, the entire CLIP backbone remains frozen, and only the adapter parameters are optimized using the HOI classification objective. This ensures that the model retains its generalization ability to unseen classes while adapting to the specific distribution of the HOI datasets.</w:t>
      </w:r>
    </w:p>
    <w:p w14:paraId="34BD7DD1"/>
    <w:p w14:paraId="49C85E06"/>
    <w:p w14:paraId="69637DAD">
      <w:r>
        <w:t>[1] Chao, Y.-W., Wang, Z., He, Y., Wang, J., &amp; Deng, J. (2015). HICO: A Benchmark for Recognizing Human-Object Interactions in Images. International Conference on Computer Vision, 1017–1025. https://doi.org/10.1109/ICCV.2015.122</w:t>
      </w:r>
    </w:p>
    <w:p w14:paraId="55B82969">
      <w:r>
        <w:t xml:space="preserve">[2] Carion, Nicolas, et al. “End-to-End Object Detection with Transformers.” European Conference on Computer Vision, Springer, Cham, 2020, pp. 213–29, doi:10.1007/978-3-030-58452-8_13. </w:t>
      </w:r>
    </w:p>
    <w:p w14:paraId="32659DD0">
      <w:r>
        <w:t>[3] Sutskever, Ilya, et al. “Learning Transferable Visual Models From Natural Language Supervision.” ArXiv: Computer Vision and Pattern Recognition, Feb. 2021.</w:t>
      </w:r>
    </w:p>
    <w:p w14:paraId="3B26004E">
      <w:r>
        <w:t>[4] Mu, Tingting, and Alessio Sarullo. “Zero-Shot Human-Object Interaction Recognition via Affordance Graphs.” ArXiv: Computer Vision and Pattern Recognition, Sept. 2020.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mbusRomNo9L-Regu">
    <w:altName w:val="Segoe Print"/>
    <w:panose1 w:val="00000000000000000000"/>
    <w:charset w:val="00"/>
    <w:family w:val="auto"/>
    <w:pitch w:val="default"/>
    <w:sig w:usb0="00000000" w:usb1="00000000" w:usb2="00000000" w:usb3="00000000" w:csb0="00000000" w:csb1="00000000"/>
  </w:font>
  <w:font w:name="CMMI10">
    <w:altName w:val="Segoe Print"/>
    <w:panose1 w:val="00000000000000000000"/>
    <w:charset w:val="00"/>
    <w:family w:val="auto"/>
    <w:pitch w:val="default"/>
    <w:sig w:usb0="00000000" w:usb1="00000000" w:usb2="00000000" w:usb3="00000000" w:csb0="00000000" w:csb1="00000000"/>
  </w:font>
  <w:font w:name="NimbusRomNo9L-ReguItal">
    <w:altName w:val="Segoe Print"/>
    <w:panose1 w:val="00000000000000000000"/>
    <w:charset w:val="00"/>
    <w:family w:val="auto"/>
    <w:pitch w:val="default"/>
    <w:sig w:usb0="00000000" w:usb1="00000000" w:usb2="00000000" w:usb3="00000000" w:csb0="00000000" w:csb1="00000000"/>
  </w:font>
  <w:font w:name="CMR10">
    <w:altName w:val="Segoe Print"/>
    <w:panose1 w:val="00000000000000000000"/>
    <w:charset w:val="00"/>
    <w:family w:val="auto"/>
    <w:pitch w:val="default"/>
    <w:sig w:usb0="00000000" w:usb1="00000000" w:usb2="00000000" w:usb3="00000000" w:csb0="00000000" w:csb1="00000000"/>
  </w:font>
  <w:font w:name="CMMI7">
    <w:altName w:val="Segoe Print"/>
    <w:panose1 w:val="00000000000000000000"/>
    <w:charset w:val="00"/>
    <w:family w:val="auto"/>
    <w:pitch w:val="default"/>
    <w:sig w:usb0="00000000" w:usb1="00000000" w:usb2="00000000" w:usb3="00000000" w:csb0="00000000" w:csb1="00000000"/>
  </w:font>
  <w:font w:name="CMSY10">
    <w:altName w:val="Segoe Print"/>
    <w:panose1 w:val="00000000000000000000"/>
    <w:charset w:val="00"/>
    <w:family w:val="auto"/>
    <w:pitch w:val="default"/>
    <w:sig w:usb0="00000000" w:usb1="00000000" w:usb2="00000000" w:usb3="00000000" w:csb0="00000000" w:csb1="00000000"/>
  </w:font>
  <w:font w:name="MSBM10">
    <w:altName w:val="Segoe Print"/>
    <w:panose1 w:val="00000000000000000000"/>
    <w:charset w:val="00"/>
    <w:family w:val="auto"/>
    <w:pitch w:val="default"/>
    <w:sig w:usb0="00000000" w:usb1="00000000" w:usb2="00000000" w:usb3="00000000" w:csb0="00000000" w:csb1="00000000"/>
  </w:font>
  <w:font w:name="CMR7">
    <w:altName w:val="Segoe Print"/>
    <w:panose1 w:val="00000000000000000000"/>
    <w:charset w:val="00"/>
    <w:family w:val="auto"/>
    <w:pitch w:val="default"/>
    <w:sig w:usb0="00000000" w:usb1="00000000" w:usb2="00000000" w:usb3="00000000" w:csb0="00000000" w:csb1="00000000"/>
  </w:font>
  <w:font w:name="CMMI5">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292364"/>
    <w:multiLevelType w:val="multilevel"/>
    <w:tmpl w:val="692923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9AC"/>
    <w:rsid w:val="0003061D"/>
    <w:rsid w:val="0007161C"/>
    <w:rsid w:val="000758AF"/>
    <w:rsid w:val="001C4469"/>
    <w:rsid w:val="001F4658"/>
    <w:rsid w:val="002167E7"/>
    <w:rsid w:val="003311CF"/>
    <w:rsid w:val="003F56B6"/>
    <w:rsid w:val="004345AD"/>
    <w:rsid w:val="004544DE"/>
    <w:rsid w:val="004B13BB"/>
    <w:rsid w:val="004B71CC"/>
    <w:rsid w:val="004C1265"/>
    <w:rsid w:val="00521A7A"/>
    <w:rsid w:val="005C1575"/>
    <w:rsid w:val="006A212C"/>
    <w:rsid w:val="006A37CE"/>
    <w:rsid w:val="006C04F5"/>
    <w:rsid w:val="008D2D53"/>
    <w:rsid w:val="00966645"/>
    <w:rsid w:val="009E72EA"/>
    <w:rsid w:val="00A44AB3"/>
    <w:rsid w:val="00B022D0"/>
    <w:rsid w:val="00B11D1B"/>
    <w:rsid w:val="00B259AC"/>
    <w:rsid w:val="00B52D36"/>
    <w:rsid w:val="00B76E57"/>
    <w:rsid w:val="00BC0AA6"/>
    <w:rsid w:val="00BD7B96"/>
    <w:rsid w:val="00C8528E"/>
    <w:rsid w:val="00D071F9"/>
    <w:rsid w:val="00D60713"/>
    <w:rsid w:val="00D96BD9"/>
    <w:rsid w:val="00DD0D81"/>
    <w:rsid w:val="00E97C2D"/>
    <w:rsid w:val="00F31FD9"/>
    <w:rsid w:val="00F453E6"/>
    <w:rsid w:val="00F661F2"/>
    <w:rsid w:val="3AA973AF"/>
    <w:rsid w:val="424E4D56"/>
    <w:rsid w:val="6AEE2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imes New Roman" w:hAnsi="Times New Roman" w:eastAsiaTheme="minorEastAsia" w:cstheme="minorBidi"/>
      <w:kern w:val="2"/>
      <w:sz w:val="2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5">
    <w:name w:val="三线表"/>
    <w:basedOn w:val="3"/>
    <w:qFormat/>
    <w:uiPriority w:val="99"/>
    <w:rPr>
      <w:rFonts w:ascii="Times New Roman" w:hAnsi="Times New Roman" w:eastAsia="宋体"/>
      <w:sz w:val="24"/>
    </w:rPr>
    <w:tblPr>
      <w:tblBorders>
        <w:top w:val="single" w:color="auto" w:sz="12" w:space="0"/>
        <w:bottom w:val="single" w:color="auto" w:sz="12" w:space="0"/>
      </w:tblBorders>
    </w:tblPr>
    <w:tblStylePr w:type="firstRow">
      <w:rPr>
        <w:b/>
      </w:rPr>
      <w:tcPr>
        <w:tcBorders>
          <w:bottom w:val="single" w:color="auto" w:sz="4" w:space="0"/>
        </w:tcBorders>
      </w:tcPr>
    </w:tblStylePr>
  </w:style>
  <w:style w:type="character" w:customStyle="1" w:styleId="6">
    <w:name w:val="ts-alignment-element"/>
    <w:basedOn w:val="4"/>
    <w:qFormat/>
    <w:uiPriority w:val="0"/>
  </w:style>
  <w:style w:type="character" w:customStyle="1" w:styleId="7">
    <w:name w:val="ts-alignment-element-highlighted"/>
    <w:basedOn w:val="4"/>
    <w:qFormat/>
    <w:uiPriority w:val="0"/>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1.wmf"/><Relationship Id="rId59" Type="http://schemas.openxmlformats.org/officeDocument/2006/relationships/image" Target="media/image27.wmf"/><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image" Target="media/image20.wmf"/><Relationship Id="rId44" Type="http://schemas.openxmlformats.org/officeDocument/2006/relationships/oleObject" Target="embeddings/oleObject21.bin"/><Relationship Id="rId43" Type="http://schemas.openxmlformats.org/officeDocument/2006/relationships/image" Target="media/image19.wmf"/><Relationship Id="rId42" Type="http://schemas.openxmlformats.org/officeDocument/2006/relationships/oleObject" Target="embeddings/oleObject20.bin"/><Relationship Id="rId41" Type="http://schemas.openxmlformats.org/officeDocument/2006/relationships/image" Target="media/image18.wmf"/><Relationship Id="rId40" Type="http://schemas.openxmlformats.org/officeDocument/2006/relationships/oleObject" Target="embeddings/oleObject19.bin"/><Relationship Id="rId4" Type="http://schemas.openxmlformats.org/officeDocument/2006/relationships/theme" Target="theme/theme1.xml"/><Relationship Id="rId39" Type="http://schemas.openxmlformats.org/officeDocument/2006/relationships/image" Target="media/image17.wmf"/><Relationship Id="rId38" Type="http://schemas.openxmlformats.org/officeDocument/2006/relationships/oleObject" Target="embeddings/oleObject18.bin"/><Relationship Id="rId37" Type="http://schemas.openxmlformats.org/officeDocument/2006/relationships/image" Target="media/image16.wmf"/><Relationship Id="rId36" Type="http://schemas.openxmlformats.org/officeDocument/2006/relationships/oleObject" Target="embeddings/oleObject17.bin"/><Relationship Id="rId35" Type="http://schemas.openxmlformats.org/officeDocument/2006/relationships/image" Target="media/image15.wmf"/><Relationship Id="rId34" Type="http://schemas.openxmlformats.org/officeDocument/2006/relationships/oleObject" Target="embeddings/oleObject16.bin"/><Relationship Id="rId33" Type="http://schemas.openxmlformats.org/officeDocument/2006/relationships/image" Target="media/image14.wmf"/><Relationship Id="rId32" Type="http://schemas.openxmlformats.org/officeDocument/2006/relationships/oleObject" Target="embeddings/oleObject15.bin"/><Relationship Id="rId31" Type="http://schemas.openxmlformats.org/officeDocument/2006/relationships/image" Target="media/image13.wmf"/><Relationship Id="rId30" Type="http://schemas.openxmlformats.org/officeDocument/2006/relationships/oleObject" Target="embeddings/oleObject14.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3.bin"/><Relationship Id="rId27" Type="http://schemas.openxmlformats.org/officeDocument/2006/relationships/oleObject" Target="embeddings/oleObject12.bin"/><Relationship Id="rId26" Type="http://schemas.openxmlformats.org/officeDocument/2006/relationships/image" Target="media/image11.wmf"/><Relationship Id="rId25" Type="http://schemas.openxmlformats.org/officeDocument/2006/relationships/oleObject" Target="embeddings/oleObject11.bin"/><Relationship Id="rId24" Type="http://schemas.openxmlformats.org/officeDocument/2006/relationships/image" Target="media/image10.wmf"/><Relationship Id="rId23" Type="http://schemas.openxmlformats.org/officeDocument/2006/relationships/oleObject" Target="embeddings/oleObject10.bin"/><Relationship Id="rId22" Type="http://schemas.openxmlformats.org/officeDocument/2006/relationships/image" Target="media/image9.wmf"/><Relationship Id="rId21" Type="http://schemas.openxmlformats.org/officeDocument/2006/relationships/oleObject" Target="embeddings/oleObject9.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wmf"/><Relationship Id="rId17" Type="http://schemas.openxmlformats.org/officeDocument/2006/relationships/oleObject" Target="embeddings/oleObject7.bin"/><Relationship Id="rId16" Type="http://schemas.openxmlformats.org/officeDocument/2006/relationships/image" Target="media/image6.wmf"/><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1246</Words>
  <Characters>7173</Characters>
  <Lines>61</Lines>
  <Paragraphs>17</Paragraphs>
  <TotalTime>1</TotalTime>
  <ScaleCrop>false</ScaleCrop>
  <LinksUpToDate>false</LinksUpToDate>
  <CharactersWithSpaces>8327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2026-02-25T03:00:00Z</dcterms:created>
  <dc:creator>甜 王</dc:creator>
  <cp:lastModifiedBy>刘婕</cp:lastModifiedBy>
  <cp:lastPrinted>2026-02-26T12:46:00Z</cp:lastPrinted>
  <dcterms:modified xsi:type="dcterms:W3CDTF">2026-03-05T09:01:10Z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TemplateDocerSaveRecord">
    <vt:lpwstr>eyJoZGlkIjoiY2Q4MDE2ZjQyN2QwOTA4Nzg1YjZjZWM5NmJkYWM0YjkiLCJ1c2VySWQiOiI3Njk5MjczNDEifQ==</vt:lpwstr>
  </property>
  <property fmtid="{D5CDD505-2E9C-101B-9397-08002B2CF9AE}" pid="4" name="KSOProductBuildVer">
    <vt:lpwstr>2052-12.1.0.25225</vt:lpwstr>
  </property>
  <property fmtid="{D5CDD505-2E9C-101B-9397-08002B2CF9AE}" pid="5" name="ICV">
    <vt:lpwstr>4A60B0E92B9C40B3BF5B2C9F800256D3_13</vt:lpwstr>
  </property>
</Properties>
</file>