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69005">
      <w:pPr>
        <w:pStyle w:val="2"/>
        <w:numPr>
          <w:numId w:val="0"/>
        </w:numPr>
        <w:bidi w:val="0"/>
        <w:rPr>
          <w:rFonts w:hint="default" w:ascii="Times New Roman" w:hAnsi="Times New Roman" w:eastAsiaTheme="minorEastAsia" w:cstheme="minorBidi"/>
          <w:b/>
          <w:bCs/>
          <w:color w:val="000000" w:themeColor="text1"/>
          <w:kern w:val="2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cstheme="minorBidi"/>
          <w:b/>
          <w:bCs/>
          <w:color w:val="000000" w:themeColor="text1"/>
          <w:kern w:val="2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2026 3 8</w:t>
      </w:r>
    </w:p>
    <w:bookmarkEnd w:id="0"/>
    <w:p w14:paraId="0D9CDE5F">
      <w:pPr>
        <w:pStyle w:val="2"/>
        <w:numPr>
          <w:ilvl w:val="0"/>
          <w:numId w:val="1"/>
        </w:numPr>
        <w:bidi w:val="0"/>
        <w:rPr>
          <w:rFonts w:hint="eastAsia" w:ascii="Times New Roman" w:hAnsi="Times New Roman" w:eastAsiaTheme="minorEastAsia" w:cstheme="minorBidi"/>
          <w:b/>
          <w:bCs/>
          <w:color w:val="000000" w:themeColor="text1"/>
          <w:kern w:val="2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Theme="minorEastAsia" w:cstheme="minorBidi"/>
          <w:b/>
          <w:bCs/>
          <w:color w:val="000000" w:themeColor="text1"/>
          <w:kern w:val="2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model structure</w:t>
      </w:r>
    </w:p>
    <w:p w14:paraId="267A81F3">
      <w:r>
        <w:drawing>
          <wp:inline distT="0" distB="0" distL="114300" distR="114300">
            <wp:extent cx="5268595" cy="4008120"/>
            <wp:effectExtent l="0" t="0" r="1905" b="5080"/>
            <wp:docPr id="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9328">
      <w:pPr>
        <w:rPr>
          <w:rFonts w:hint="eastAsia" w:eastAsiaTheme="minorEastAsia"/>
          <w:sz w:val="28"/>
          <w:szCs w:val="28"/>
          <w:lang w:val="en-US" w:eastAsia="zh-CN"/>
        </w:rPr>
      </w:pPr>
    </w:p>
    <w:p w14:paraId="76DC60CE">
      <w:pPr>
        <w:widowControl w:val="0"/>
        <w:numPr>
          <w:ilvl w:val="0"/>
          <w:numId w:val="0"/>
        </w:numPr>
        <w:spacing w:before="120" w:after="12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0"/>
          <w:szCs w:val="20"/>
        </w:rPr>
        <w:t>This document describes the adapter component.</w:t>
      </w:r>
    </w:p>
    <w:p w14:paraId="7641E334">
      <w:pPr>
        <w:rPr>
          <w:color w:val="FF0000"/>
          <w:sz w:val="24"/>
          <w:szCs w:val="28"/>
        </w:rPr>
      </w:pPr>
    </w:p>
    <w:p w14:paraId="06E72D6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 Zero-Shot Bias Analysis</w:t>
      </w:r>
    </w:p>
    <w:p w14:paraId="797E1D2A">
      <w:r>
        <w:t>We conduct a preliminary analysis on the HICO</w:t>
      </w:r>
      <w:r>
        <w:noBreakHyphen/>
      </w:r>
      <w:r>
        <w:t>det dataset under the rare first zero</w:t>
      </w:r>
      <w:r>
        <w:noBreakHyphen/>
      </w:r>
      <w:r>
        <w:t xml:space="preserve">shot setting </w:t>
      </w:r>
      <w:r>
        <w:rPr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[4]</w:t>
      </w:r>
      <w:r>
        <w:t xml:space="preserve">. The model is trained only on seen classes, and we evaluate the score distributions for seen vs. unseen classes. </w:t>
      </w:r>
    </w:p>
    <w:p w14:paraId="57B18F89">
      <w:r>
        <w:rPr>
          <w:b/>
          <w:bCs/>
        </w:rPr>
        <w:t>Observation 1</w:t>
      </w:r>
      <w:r>
        <w:t xml:space="preserve"> Over</w:t>
      </w:r>
      <w:r>
        <w:rPr>
          <w:lang w:eastAsia="zh-Hans"/>
        </w:rPr>
        <w:t>-</w:t>
      </w:r>
      <w:r>
        <w:t xml:space="preserve">confidence on a few </w:t>
      </w:r>
      <w:r>
        <w:rPr>
          <w:rFonts w:hint="eastAsia" w:ascii="等线" w:hAnsi="等线" w:eastAsia="等线" w:cs="等线"/>
        </w:rPr>
        <w:t>“</w:t>
      </w:r>
      <w:r>
        <w:t>confusing</w:t>
      </w:r>
      <w:r>
        <w:rPr>
          <w:rFonts w:hint="eastAsia" w:ascii="等线" w:hAnsi="等线" w:eastAsia="等线" w:cs="等线"/>
        </w:rPr>
        <w:t>”</w:t>
      </w:r>
      <w:r>
        <w:t xml:space="preserve"> seen classes: Certain seen classes that share visual or semantic similarity with many unseen classes are repeatedly predicted with high confidence. For instance, the class </w:t>
      </w:r>
      <w:r>
        <w:rPr>
          <w:rFonts w:hint="eastAsia" w:ascii="等线" w:hAnsi="等线" w:eastAsia="等线" w:cs="等线"/>
        </w:rPr>
        <w:t>“</w:t>
      </w:r>
      <w:r>
        <w:t>eat</w:t>
      </w:r>
      <w:r>
        <w:rPr>
          <w:rFonts w:hint="eastAsia" w:ascii="等线" w:hAnsi="等线" w:eastAsia="等线" w:cs="等线"/>
        </w:rPr>
        <w:t>”</w:t>
      </w:r>
      <w:r>
        <w:t xml:space="preserve"> (index</w:t>
      </w:r>
      <w:r>
        <w:rPr>
          <w:rFonts w:cs="Times New Roman"/>
        </w:rPr>
        <w:t> </w:t>
      </w:r>
      <w:r>
        <w:t>162) and “hold” (index</w:t>
      </w:r>
      <w:r>
        <w:rPr>
          <w:rFonts w:cs="Times New Roman"/>
        </w:rPr>
        <w:t> </w:t>
      </w:r>
      <w:r>
        <w:t>277) appear as false positives for a large number of unseen interactions.</w:t>
      </w:r>
    </w:p>
    <w:p w14:paraId="10D6E61C">
      <w:r>
        <w:rPr>
          <w:b/>
          <w:bCs/>
        </w:rPr>
        <w:t>Observation 2</w:t>
      </w:r>
      <w:r>
        <w:t xml:space="preserve"> Score imbalance: The average logit for seen classes is higher than that for unseen classes. Even when an unseen interaction is correctly represented, its score is often suppressed by competing seen classes.</w:t>
      </w:r>
    </w:p>
    <w:p w14:paraId="1F467094">
      <w:r>
        <w:t>These observations motivate a post</w:t>
      </w:r>
      <w:r>
        <w:rPr>
          <w:lang w:eastAsia="zh-Hans"/>
        </w:rPr>
        <w:t>-</w:t>
      </w:r>
      <w:r>
        <w:t>processing strategy that does not alter the learned representations but merely re</w:t>
      </w:r>
      <w:r>
        <w:rPr>
          <w:rFonts w:hint="eastAsia" w:ascii="MS Gothic" w:hAnsi="MS Gothic" w:eastAsia="MS Gothic" w:cs="MS Gothic"/>
        </w:rPr>
        <w:t>‑</w:t>
      </w:r>
      <w:r>
        <w:t>calibrates the output scores.</w:t>
      </w:r>
    </w:p>
    <w:p w14:paraId="02B267C1"/>
    <w:p w14:paraId="510ECB98">
      <w:pPr>
        <w:rPr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Lightweight Semantic Adapter</w:t>
      </w:r>
    </w:p>
    <w:p w14:paraId="36E7C3E6">
      <w:r>
        <w:rPr>
          <w:rFonts w:hint="eastAsia"/>
        </w:rPr>
        <w:t>To bridge the gap between general-purpose CLIP embeddings and task-specific HOI categories, we introduce a Parameter-Efficient Semantic Adapter with Low-Rank Adaptation (LoRA), which refines the output features from the frozen CLIP text encoder. This module captures nuanced semantic relationships between human actions and objects in HOI detection without fine-tuning the massive CLIP backbone parameters, while further reducing the number of trainable parameters via low-rank decomposition.</w:t>
      </w:r>
    </w:p>
    <w:p w14:paraId="69D99733">
      <w:pPr>
        <w:rPr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.1 Architecture Design</w:t>
      </w:r>
    </w:p>
    <w:p w14:paraId="351E89B5">
      <w:r>
        <w:t>The Semantic Adapter follows a bottleneck architecture with a residual connection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and integrates a LoRA layer to enhance parameter efficiency</w:t>
      </w:r>
      <w:r>
        <w:t xml:space="preserve">. For a given input text embedding </w:t>
      </w:r>
      <w:r>
        <w:rPr>
          <w:position w:val="-11"/>
        </w:rPr>
        <w:object>
          <v:shape id="_x0000_i1053" o:spt="75" type="#_x0000_t75" style="height:16.25pt;width:29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AxMath" ShapeID="_x0000_i1053" DrawAspect="Content" ObjectID="_1468075725" r:id="rId6">
            <o:LockedField>false</o:LockedField>
          </o:OLEObject>
        </w:object>
      </w:r>
      <w:r>
        <w:t xml:space="preserve"> generated </w:t>
      </w:r>
      <w:r>
        <w:rPr>
          <w:rFonts w:hint="eastAsia"/>
        </w:rPr>
        <w:t xml:space="preserve">by the frozen CLIP text encoder (where </w:t>
      </w:r>
      <m:oMath>
        <m:r>
          <m:rPr/>
          <w:rPr>
            <w:rFonts w:hint="default" w:ascii="Cambria Math" w:hAnsi="Cambria Math"/>
            <w:lang w:val="en-US" w:eastAsia="zh-CN"/>
          </w:rPr>
          <m:t>d</m:t>
        </m:r>
      </m:oMath>
      <w:r>
        <w:rPr>
          <w:rFonts w:hint="eastAsia"/>
        </w:rPr>
        <w:t xml:space="preserve"> denotes the dimension of CLIP text features, set to 512 in our implementation), the adapted feature </w:t>
      </w:r>
      <m:oMath>
        <m:sSup>
          <m:sSup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'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</m:sSup>
      </m:oMath>
      <w:r>
        <w:rPr>
          <w:rFonts w:hint="eastAsia"/>
        </w:rPr>
        <w:t xml:space="preserve"> is computed as:</w:t>
      </w:r>
    </w:p>
    <w:p w14:paraId="6B40E4F5">
      <w:pPr>
        <w:jc w:val="center"/>
        <w:rPr>
          <w:sz w:val="28"/>
          <w:szCs w:val="28"/>
        </w:rPr>
      </w:pPr>
      <m:oMathPara>
        <m:oMath>
          <m:r>
            <m:rPr/>
            <w:rPr>
              <w:rFonts w:hint="default" w:ascii="Cambria Math" w:hAnsi="Cambria Math"/>
              <w:sz w:val="28"/>
              <w:szCs w:val="28"/>
            </w:rPr>
            <m:t>t'=t+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  <w:szCs w:val="28"/>
                </w:rPr>
                <m:t>W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28"/>
                </w:rPr>
                <m:t>up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  <w:szCs w:val="28"/>
            </w:rPr>
            <m:t>⋅</m:t>
          </m:r>
          <m:r>
            <m:rPr/>
            <w:rPr>
              <w:rFonts w:hint="default" w:ascii="Cambria Math" w:hAnsi="Cambria Math"/>
              <w:sz w:val="28"/>
              <w:szCs w:val="28"/>
              <w:lang w:val="en-US" w:eastAsia="zh-CN"/>
            </w:rPr>
            <m:t>GELU(LoRA</m:t>
          </m:r>
          <m:r>
            <m:rPr/>
            <w:rPr>
              <w:rFonts w:hint="default"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  <w:szCs w:val="28"/>
                </w:rPr>
                <m:t>W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28"/>
                </w:rPr>
                <m:t>down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  <w:szCs w:val="28"/>
            </w:rPr>
            <m:t>⋅LN(t)</m:t>
          </m:r>
          <m:r>
            <m:rPr/>
            <w:rPr>
              <w:rFonts w:hint="default" w:ascii="Cambria Math" w:hAnsi="Cambria Math"/>
              <w:sz w:val="28"/>
              <w:szCs w:val="28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8"/>
              <w:szCs w:val="28"/>
            </w:rPr>
            <m:t>)</m:t>
          </m:r>
        </m:oMath>
      </m:oMathPara>
    </w:p>
    <w:p w14:paraId="6A4000AF">
      <w:r>
        <w:t>where:</w:t>
      </w:r>
    </w:p>
    <w:p w14:paraId="25749D23">
      <w:pPr>
        <w:pStyle w:val="9"/>
        <w:numPr>
          <w:ilvl w:val="0"/>
          <w:numId w:val="2"/>
        </w:numPr>
        <w:ind w:firstLineChars="0"/>
      </w:pPr>
      <m:oMath>
        <m:r>
          <m:rPr/>
          <w:rPr>
            <w:rFonts w:hint="default" w:ascii="Cambria Math" w:hAnsi="Cambria Math"/>
            <w:sz w:val="22"/>
          </w:rPr>
          <m:t>LN(⋅)</m:t>
        </m:r>
      </m:oMath>
      <w:r>
        <w:t xml:space="preserve"> denotes the Layer Normalization applied to the input features to stabilize the optimization process.</w:t>
      </w:r>
    </w:p>
    <w:p w14:paraId="193B593A">
      <w:pPr>
        <w:pStyle w:val="9"/>
        <w:numPr>
          <w:ilvl w:val="0"/>
          <w:numId w:val="2"/>
        </w:numPr>
        <w:ind w:firstLineChars="0"/>
      </w:pPr>
      <w:r>
        <w:rPr>
          <w:position w:val="-11"/>
        </w:rPr>
        <w:object>
          <v:shape id="_x0000_i1054" o:spt="75" type="#_x0000_t75" style="height:17.5pt;width:62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AxMath" ShapeID="_x0000_i1054" DrawAspect="Content" ObjectID="_1468075726" r:id="rId8">
            <o:LockedField>false</o:LockedField>
          </o:OLEObject>
        </w:object>
      </w:r>
      <w:r>
        <w:t xml:space="preserve">and </w:t>
      </w:r>
      <w:r>
        <w:rPr>
          <w:position w:val="-11"/>
        </w:rPr>
        <w:object>
          <v:shape id="_x0000_i1055" o:spt="75" type="#_x0000_t75" style="height:17.5pt;width:54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AxMath" ShapeID="_x0000_i1055" DrawAspect="Content" ObjectID="_1468075727" r:id="rId10">
            <o:LockedField>false</o:LockedField>
          </o:OLEObject>
        </w:object>
      </w:r>
      <w:r>
        <w:t xml:space="preserve"> are the weight matrices of two linear projection layers without bias terms, where </w:t>
      </w:r>
      <w:r>
        <w:rPr>
          <w:rFonts w:hint="eastAsia"/>
        </w:rPr>
        <w:t>r</w:t>
      </w:r>
      <w:r>
        <w:t xml:space="preserve"> is the bottleneck dimension (set to 64 in our implementation).</w:t>
      </w:r>
    </w:p>
    <w:p w14:paraId="469D8C99">
      <w:pPr>
        <w:pStyle w:val="9"/>
        <w:numPr>
          <w:ilvl w:val="0"/>
          <w:numId w:val="2"/>
        </w:numPr>
        <w:ind w:firstLineChars="0"/>
      </w:pPr>
      <m:oMath>
        <m:r>
          <m:rPr/>
          <w:rPr>
            <w:rFonts w:hint="default" w:ascii="Cambria Math" w:hAnsi="Cambria Math"/>
            <w:sz w:val="22"/>
            <w:lang w:val="en-US" w:eastAsia="zh-CN"/>
          </w:rPr>
          <m:t>GELU</m:t>
        </m:r>
        <m:r>
          <m:rPr/>
          <w:rPr>
            <w:rFonts w:hint="default" w:ascii="Cambria Math" w:hAnsi="Cambria Math"/>
            <w:sz w:val="22"/>
          </w:rPr>
          <m:t>(⋅)</m:t>
        </m:r>
      </m:oMath>
      <w:r>
        <w:rPr>
          <w:rFonts w:hint="eastAsia" w:hAnsi="Cambria Math"/>
          <w:i w:val="0"/>
          <w:sz w:val="22"/>
          <w:lang w:val="en-US" w:eastAsia="zh-CN"/>
        </w:rPr>
        <w:t xml:space="preserve"> </w:t>
      </w:r>
      <w:r>
        <w:rPr>
          <w:lang w:val="en-US" w:eastAsia="zh-CN"/>
        </w:rPr>
        <w:t>Gaussian Error Linear Unit activation function, which provides smoother non-linearity compared to ReLU and better fits the Transformer-based CLIP text encoder;</w:t>
      </w:r>
    </w:p>
    <w:p w14:paraId="55B91661">
      <w:pPr>
        <w:pStyle w:val="9"/>
        <w:numPr>
          <w:ilvl w:val="0"/>
          <w:numId w:val="2"/>
        </w:numPr>
        <w:ind w:firstLineChars="0"/>
      </w:pPr>
      <m:oMath>
        <m:r>
          <m:rPr/>
          <w:rPr>
            <w:rFonts w:hint="default" w:ascii="Cambria Math" w:hAnsi="Cambria Math"/>
            <w:sz w:val="22"/>
          </w:rPr>
          <m:t>L</m:t>
        </m:r>
        <m:r>
          <m:rPr/>
          <w:rPr>
            <w:rFonts w:hint="default" w:ascii="Cambria Math" w:hAnsi="Cambria Math"/>
            <w:sz w:val="22"/>
            <w:lang w:val="en-US" w:eastAsia="zh-CN"/>
          </w:rPr>
          <m:t>oRA</m:t>
        </m:r>
        <m:r>
          <m:rPr/>
          <w:rPr>
            <w:rFonts w:hint="default" w:ascii="Cambria Math" w:hAnsi="Cambria Math"/>
            <w:sz w:val="22"/>
          </w:rPr>
          <m:t>(⋅)</m:t>
        </m:r>
      </m:oMath>
      <w:r>
        <w:rPr>
          <w:rFonts w:hint="eastAsia" w:hAnsi="Cambria Math"/>
          <w:i w:val="0"/>
          <w:sz w:val="22"/>
          <w:lang w:val="en-US" w:eastAsia="zh-CN"/>
        </w:rPr>
        <w:t xml:space="preserve"> </w:t>
      </w:r>
      <w:r>
        <w:rPr>
          <w:lang w:val="en-US" w:eastAsia="zh-CN"/>
        </w:rPr>
        <w:t>A low-rank adaptation layer that decomposes the full-rank transformation in the bottleneck space into two small matrices A∈Rk×r and B∈Rr×k (where k is the rank, set to 4 in our implementation). The LoRA transformation is scaled by α/k (with α=16) to balance the output magnitude:</w:t>
      </w:r>
    </w:p>
    <w:p w14:paraId="1E4A13BD">
      <w:pPr>
        <w:pStyle w:val="9"/>
        <w:numPr>
          <w:ilvl w:val="0"/>
          <w:numId w:val="0"/>
        </w:numPr>
        <w:ind w:leftChars="0"/>
        <w:rPr>
          <w:rFonts w:hint="default" w:hAnsi="Cambria Math" w:cs="Cambria Math"/>
          <w:i w:val="0"/>
          <w:sz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2"/>
            </w:rPr>
            <m:t>L</m:t>
          </m:r>
          <m:r>
            <m:rPr/>
            <w:rPr>
              <w:rFonts w:hint="default" w:ascii="Cambria Math" w:hAnsi="Cambria Math"/>
              <w:sz w:val="22"/>
              <w:lang w:val="en-US" w:eastAsia="zh-CN"/>
            </w:rPr>
            <m:t>oRA</m:t>
          </m:r>
          <m:r>
            <m:rPr/>
            <w:rPr>
              <w:rFonts w:hint="default" w:ascii="Cambria Math" w:hAnsi="Cambria Math"/>
              <w:sz w:val="22"/>
            </w:rPr>
            <m:t>(⋅)</m:t>
          </m:r>
          <m:r>
            <m:rPr/>
            <w:rPr>
              <w:rFonts w:hint="default" w:ascii="Cambria Math" w:hAnsi="Cambria Math"/>
              <w:sz w:val="22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22"/>
                  <w:lang w:val="en-US"/>
                </w:rPr>
                <m:t>α</m:t>
              </m:r>
              <m:ctrlPr>
                <w:rPr>
                  <w:rFonts w:hint="default" w:ascii="Cambria Math" w:hAnsi="Cambria Math"/>
                  <w:i/>
                  <w:sz w:val="22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sz w:val="22"/>
                  <w:lang w:val="en-US" w:eastAsia="zh-CN"/>
                </w:rPr>
              </m:ctrlPr>
            </m:den>
          </m:f>
          <m:r>
            <m:rPr/>
            <w:rPr>
              <w:rFonts w:ascii="Cambria Math" w:hAnsi="Cambria Math"/>
              <w:sz w:val="22"/>
              <w:lang w:val="en-US"/>
            </w:rPr>
            <m:t>⋅</m:t>
          </m:r>
          <m:r>
            <m:rPr/>
            <w:rPr>
              <w:rFonts w:hint="default" w:ascii="Cambria Math" w:hAnsi="Cambria Math"/>
              <w:sz w:val="22"/>
              <w:lang w:val="en-US" w:eastAsia="zh-CN"/>
            </w:rPr>
            <m:t>B</m:t>
          </m:r>
          <m:r>
            <m:rPr/>
            <w:rPr>
              <w:rFonts w:hint="default" w:ascii="Cambria Math" w:hAnsi="Cambria Math" w:cs="Cambria Math"/>
              <w:sz w:val="22"/>
              <w:lang w:val="en-US" w:eastAsia="zh-CN"/>
            </w:rPr>
            <m:t>⋅A⋅x</m:t>
          </m:r>
        </m:oMath>
      </m:oMathPara>
    </w:p>
    <w:p w14:paraId="053D3CC4">
      <w:pPr>
        <w:pStyle w:val="9"/>
        <w:numPr>
          <w:ilvl w:val="0"/>
          <w:numId w:val="2"/>
        </w:numPr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0.1: A residual scaling factor to control the contribution of the adapter branch and preserve the original CLIP semantic space;</w:t>
      </w:r>
    </w:p>
    <w:p w14:paraId="79DBB304">
      <w:pPr>
        <w:pStyle w:val="9"/>
        <w:numPr>
          <w:ilvl w:val="0"/>
          <w:numId w:val="2"/>
        </w:numPr>
        <w:ind w:firstLineChars="0"/>
        <w:rPr>
          <w:rFonts w:hint="default" w:hAnsi="Cambria Math" w:cs="Cambria Math"/>
          <w:i w:val="0"/>
          <w:sz w:val="22"/>
          <w:lang w:val="en-US" w:eastAsia="zh-CN"/>
        </w:rPr>
      </w:pPr>
      <w:r>
        <w:rPr>
          <w:rFonts w:hint="default"/>
          <w:lang w:val="en-US" w:eastAsia="zh-CN"/>
        </w:rPr>
        <w:t>Residual connection: The original CLIP text embedding</w:t>
      </w:r>
      <w:r>
        <w:rPr>
          <w:rFonts w:hint="eastAsia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22"/>
            <w:lang w:val="en-US" w:eastAsia="zh-CN"/>
          </w:rPr>
          <m:t>t</m:t>
        </m:r>
      </m:oMath>
      <w:r>
        <w:rPr>
          <w:rFonts w:hint="default"/>
          <w:lang w:val="en-US" w:eastAsia="zh-CN"/>
        </w:rPr>
        <w:t xml:space="preserve">is retained to ensure the adapter only learns </w:t>
      </w:r>
      <w:r>
        <w:rPr>
          <w:rFonts w:hint="default" w:hAnsi="Cambria Math" w:cs="Cambria Math"/>
          <w:i w:val="0"/>
          <w:sz w:val="22"/>
          <w:lang w:val="en-US" w:eastAsia="zh-CN"/>
        </w:rPr>
        <w:t>task-specific offsets without disrupting the pre-trained semantic knowledge</w:t>
      </w:r>
    </w:p>
    <w:p w14:paraId="57EE7F6E">
      <w:pPr>
        <w:pStyle w:val="9"/>
        <w:numPr>
          <w:ilvl w:val="0"/>
          <w:numId w:val="0"/>
        </w:numPr>
        <w:ind w:leftChars="0"/>
        <w:rPr>
          <w:rFonts w:hint="eastAsia" w:hAnsi="Cambria Math" w:cs="Cambria Math"/>
          <w:i w:val="0"/>
          <w:sz w:val="22"/>
          <w:lang w:val="en-US" w:eastAsia="zh-CN"/>
        </w:rPr>
      </w:pPr>
    </w:p>
    <w:p w14:paraId="2771BB33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.2 Zero-initialized Residual Learning</w:t>
      </w:r>
    </w:p>
    <w:p w14:paraId="0C2E79AF">
      <w:r>
        <w:t xml:space="preserve">A key feature of our adapter is the initialization strategy of the up-projection layer. Specifically, we initialize </w:t>
      </w:r>
      <w:r>
        <w:rPr>
          <w:position w:val="-11"/>
        </w:rPr>
        <w:object>
          <v:shape id="_x0000_i1056" o:spt="75" type="#_x0000_t75" style="height:16.65pt;width:19.5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AxMath" ShapeID="_x0000_i1056" DrawAspect="Content" ObjectID="_1468075728" r:id="rId12">
            <o:LockedField>false</o:LockedField>
          </o:OLEObject>
        </w:object>
      </w:r>
      <w:r>
        <w:t xml:space="preserve"> with zeros:</w:t>
      </w:r>
    </w:p>
    <w:p w14:paraId="7B7E2C5B">
      <w:pPr>
        <w:jc w:val="center"/>
      </w:pPr>
      <w:r>
        <w:rPr>
          <w:position w:val="-11"/>
        </w:rPr>
        <w:object>
          <v:shape id="_x0000_i1057" o:spt="75" type="#_x0000_t75" style="height:16.65pt;width:42.0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AxMath" ShapeID="_x0000_i1057" DrawAspect="Content" ObjectID="_1468075729" r:id="rId14">
            <o:LockedField>false</o:LockedField>
          </o:OLEObject>
        </w:object>
      </w:r>
    </w:p>
    <w:p w14:paraId="6C599E47">
      <w:pPr>
        <w:rPr>
          <w:color w:val="FF0000"/>
          <w:sz w:val="24"/>
          <w:szCs w:val="28"/>
        </w:rPr>
      </w:pPr>
      <w:r>
        <w:t xml:space="preserve">This initialization ensures that at the beginning of the training phase, the output of the adapter branch is zero, meaning </w:t>
      </w:r>
      <w:r>
        <w:rPr>
          <w:position w:val="-11"/>
        </w:rPr>
        <w:object>
          <v:shape id="_x0000_i1058" o:spt="75" type="#_x0000_t75" style="height:16.65pt;width:26.6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AxMath" ShapeID="_x0000_i1058" DrawAspect="Content" ObjectID="_1468075730" r:id="rId16">
            <o:LockedField>false</o:LockedField>
          </o:OLEObject>
        </w:object>
      </w:r>
      <w:r>
        <w:t>. This property preserves the high-quality zero-shot capabilities of the pretrained CLIP model, allowing the adapter to progressively learn task-specific offsets without disrupting the original semantic space.</w:t>
      </w:r>
    </w:p>
    <w:p w14:paraId="1F816F06">
      <w:pPr>
        <w:rPr>
          <w:rFonts w:hint="eastAsia"/>
        </w:rPr>
      </w:pPr>
      <w:r>
        <w:rPr>
          <w:rFonts w:hint="eastAsia"/>
        </w:rPr>
        <w:t>Text Prompts</w:t>
      </w:r>
    </w:p>
    <w:p w14:paraId="0EF8E023">
      <w:pPr>
        <w:rPr>
          <w:rFonts w:hint="eastAsia"/>
        </w:rPr>
      </w:pPr>
      <w:r>
        <w:rPr>
          <w:rFonts w:hint="eastAsia"/>
        </w:rPr>
        <w:t>→ CLIP Text Encoder → [N, 512]</w:t>
      </w:r>
    </w:p>
    <w:p w14:paraId="5453FDC3">
      <w:pPr>
        <w:rPr>
          <w:rFonts w:hint="eastAsia"/>
        </w:rPr>
      </w:pPr>
      <w:r>
        <w:rPr>
          <w:rFonts w:hint="eastAsia"/>
        </w:rPr>
        <w:t>→ Normalization</w:t>
      </w:r>
    </w:p>
    <w:p w14:paraId="58617559">
      <w:pPr>
        <w:rPr>
          <w:rFonts w:hint="eastAsia"/>
        </w:rPr>
      </w:pPr>
      <w:r>
        <w:rPr>
          <w:rFonts w:hint="eastAsia"/>
        </w:rPr>
        <w:t>→ Text Semantic Adapter → [N, 512]</w:t>
      </w:r>
    </w:p>
    <w:p w14:paraId="6EAD39AB">
      <w:pPr>
        <w:rPr>
          <w:rFonts w:hint="eastAsia"/>
        </w:rPr>
      </w:pPr>
      <w:r>
        <w:rPr>
          <w:rFonts w:hint="eastAsia"/>
        </w:rPr>
        <w:t>→ Dynamic Projection → [N, D]</w:t>
      </w:r>
    </w:p>
    <w:p w14:paraId="34BE2C61">
      <w:pPr>
        <w:rPr>
          <w:rFonts w:hint="eastAsia"/>
        </w:rPr>
      </w:pPr>
      <w:r>
        <w:rPr>
          <w:rFonts w:hint="eastAsia"/>
        </w:rPr>
        <w:t>→ Normalization</w:t>
      </w:r>
    </w:p>
    <w:p w14:paraId="55BE94E7">
      <w:r>
        <w:rPr>
          <w:rFonts w:hint="eastAsia"/>
        </w:rPr>
        <w:t>→ Similarity Computation</w:t>
      </w:r>
    </w:p>
    <w:p w14:paraId="0CB617E3"/>
    <w:p w14:paraId="50178A07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4.Result</w:t>
      </w:r>
    </w:p>
    <w:p w14:paraId="1095DFE7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NF task  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1158"/>
        <w:gridCol w:w="1656"/>
        <w:gridCol w:w="1462"/>
        <w:gridCol w:w="1148"/>
        <w:gridCol w:w="1224"/>
      </w:tblGrid>
      <w:tr w14:paraId="66429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66D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587F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mAP（%）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80C1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unseen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mAP（%）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5641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seen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mAP（%）</w:t>
            </w:r>
          </w:p>
        </w:tc>
        <w:tc>
          <w:tcPr>
            <w:tcW w:w="1148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E2F9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rare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mAP（%）</w:t>
            </w:r>
          </w:p>
        </w:tc>
        <w:tc>
          <w:tcPr>
            <w:tcW w:w="1224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366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on rare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mAP（%）</w:t>
            </w:r>
          </w:p>
        </w:tc>
      </w:tr>
      <w:tr w14:paraId="5D8F7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B91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omplex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(30epoch)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2C4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30.44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573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34.02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EB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29.54</w:t>
            </w:r>
          </w:p>
        </w:tc>
        <w:tc>
          <w:tcPr>
            <w:tcW w:w="1148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6D4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28.95</w:t>
            </w:r>
          </w:p>
        </w:tc>
        <w:tc>
          <w:tcPr>
            <w:tcW w:w="1224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7B2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30.88</w:t>
            </w:r>
          </w:p>
        </w:tc>
      </w:tr>
      <w:tr w14:paraId="3696A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0DB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imple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(30epoch)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BB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32.29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8C0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35.66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145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31.44</w:t>
            </w:r>
          </w:p>
        </w:tc>
        <w:tc>
          <w:tcPr>
            <w:tcW w:w="1148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416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33.25</w:t>
            </w:r>
          </w:p>
        </w:tc>
        <w:tc>
          <w:tcPr>
            <w:tcW w:w="1224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211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32.00</w:t>
            </w:r>
          </w:p>
        </w:tc>
      </w:tr>
      <w:tr w14:paraId="06807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294D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ora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(20 epoch)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453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391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36.37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76E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1.42</w:t>
            </w:r>
          </w:p>
        </w:tc>
        <w:tc>
          <w:tcPr>
            <w:tcW w:w="1148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0FA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32.80</w:t>
            </w:r>
          </w:p>
        </w:tc>
        <w:tc>
          <w:tcPr>
            <w:tcW w:w="1224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01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31.80</w:t>
            </w:r>
          </w:p>
        </w:tc>
      </w:tr>
      <w:tr w14:paraId="3592B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11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012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LAIN(base)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85D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33.23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6AD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36.41</w:t>
            </w:r>
          </w:p>
        </w:tc>
        <w:tc>
          <w:tcPr>
            <w:tcW w:w="0" w:type="auto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E7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32.11</w:t>
            </w:r>
          </w:p>
        </w:tc>
        <w:tc>
          <w:tcPr>
            <w:tcW w:w="1148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9D1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35.75</w:t>
            </w:r>
          </w:p>
        </w:tc>
        <w:tc>
          <w:tcPr>
            <w:tcW w:w="1224" w:type="dxa"/>
            <w:tcBorders>
              <w:top w:val="single" w:color="3D444D" w:sz="2" w:space="0"/>
              <w:left w:val="single" w:color="3D444D" w:sz="2" w:space="0"/>
              <w:bottom w:val="single" w:color="3D444D" w:sz="2" w:space="0"/>
              <w:right w:val="single" w:color="3D444D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440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32.75</w:t>
            </w:r>
          </w:p>
        </w:tc>
      </w:tr>
    </w:tbl>
    <w:p w14:paraId="22905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Initially, we designed a complex adapter by incorporating multi-gate control into the text  semantic adapter. However, after training, we found that this complex multi-gate structure did not yield performance improvements and was outperformed by the simpler baseline adapter, which only applied basic linear transformations.</w:t>
      </w:r>
    </w:p>
    <w:p w14:paraId="332A0190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Subsequently, we adjusted our strategy: based on the better-performing simple adapter, we introduced LoRA (Low-Rank Adaptation) for lightweight fine-tuning. This allowed us to adapt the text features using low-rank matrices, maintaining the lightweight nature of the adapter while better capturing fine-grained variations in text semantics.</w:t>
      </w:r>
    </w:p>
    <w:p w14:paraId="02C988B6">
      <w:pPr>
        <w:numPr>
          <w:numId w:val="0"/>
        </w:numPr>
      </w:pPr>
      <w:r>
        <w:drawing>
          <wp:inline distT="0" distB="0" distL="114300" distR="114300">
            <wp:extent cx="5273040" cy="3615690"/>
            <wp:effectExtent l="0" t="0" r="10160" b="3810"/>
            <wp:docPr id="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E1FA">
      <w:pPr>
        <w:pStyle w:val="3"/>
        <w:numPr>
          <w:numId w:val="0"/>
        </w:numPr>
        <w:jc w:val="center"/>
        <w:rPr>
          <w:color w:val="FF0000"/>
          <w:sz w:val="24"/>
          <w:szCs w:val="28"/>
        </w:rPr>
      </w:pPr>
      <w:r>
        <w:rPr>
          <w:rFonts w:hint="eastAsia"/>
          <w:lang w:val="en-US" w:eastAsia="zh-CN"/>
        </w:rPr>
        <w:t>Figure</w:t>
      </w:r>
      <w:r>
        <w:t xml:space="preserve">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Result for Lora-adapter</w:t>
      </w:r>
    </w:p>
    <w:p w14:paraId="33F22F3F">
      <w:pPr>
        <w:ind w:firstLine="440" w:firstLineChars="200"/>
        <w:rPr>
          <w:rFonts w:hint="eastAsia"/>
        </w:rPr>
      </w:pPr>
      <w:r>
        <w:rPr>
          <w:rFonts w:hint="eastAsia"/>
        </w:rPr>
        <w:t xml:space="preserve">We will next test additional hyperparameters and validate the training performance of the visually-added scene module. </w:t>
      </w:r>
    </w:p>
    <w:p w14:paraId="34BD7DD1">
      <w:pPr>
        <w:ind w:firstLine="440" w:firstLineChars="200"/>
        <w:rPr>
          <w:rFonts w:hint="eastAsia"/>
        </w:rPr>
      </w:pPr>
      <w:r>
        <w:rPr>
          <w:rFonts w:hint="eastAsia"/>
        </w:rPr>
        <w:t>The combining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model has not yet undergone experimental evaluation.</w:t>
      </w:r>
    </w:p>
    <w:p w14:paraId="6F4AF749">
      <w:pPr>
        <w:ind w:firstLine="440" w:firstLineChars="200"/>
        <w:rPr>
          <w:rFonts w:hint="eastAsia"/>
        </w:rPr>
      </w:pPr>
    </w:p>
    <w:p w14:paraId="065D6BA7">
      <w:pPr>
        <w:rPr>
          <w:rFonts w:hint="eastAsia"/>
          <w:b/>
          <w:bCs/>
          <w:color w:val="000000" w:themeColor="text1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Suppression-Boost Post-Processing Strategy</w:t>
      </w:r>
      <w:r>
        <w:rPr>
          <w:rFonts w:hint="eastAsia"/>
          <w:b/>
          <w:bCs/>
          <w:color w:val="000000" w:themeColor="text1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This part has not been tested yet.</w:t>
      </w:r>
      <w:r>
        <w:rPr>
          <w:rFonts w:hint="eastAsia"/>
          <w:b/>
          <w:bCs/>
          <w:color w:val="000000" w:themeColor="text1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34B3828E">
      <w:r>
        <w:t xml:space="preserve">To mitigate the inherent seen-class bias observed in zero-shot HOI detection, we propose a lightweight, post-hoc calibration mechanism termed the </w:t>
      </w:r>
      <w:r>
        <w:rPr>
          <w:b/>
          <w:bCs/>
        </w:rPr>
        <w:t>Suppression-Boost (SB) strategy</w:t>
      </w:r>
      <w:r>
        <w:t>. Unlike methods that require expensive re-training, our SB strategy re-calibrates the model's confidence scores during inference through class-specific multiplicative rescaling.</w:t>
      </w:r>
    </w:p>
    <w:p w14:paraId="02995985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.1 Problem Observation</w:t>
      </w:r>
    </w:p>
    <w:p w14:paraId="02AD2CB1">
      <w:r>
        <w:t xml:space="preserve">Through empirical analysis of the baseline model's predictions, we identify a systematic "over-claiming" issue: the model frequently assigns high confidence scores to seen interaction classes (e.g., </w:t>
      </w:r>
      <w:r>
        <w:rPr>
          <w:i/>
          <w:iCs/>
        </w:rPr>
        <w:t>hold</w:t>
      </w:r>
      <w:r>
        <w:t xml:space="preserve">, </w:t>
      </w:r>
      <w:r>
        <w:rPr>
          <w:i/>
          <w:iCs/>
        </w:rPr>
        <w:t>eat</w:t>
      </w:r>
      <w:r>
        <w:t>) even when the true interaction belongs to an unseen category. This bias stems from the unbalanced distribution of the training data, where seen classes dominate the embedding space.</w:t>
      </w:r>
    </w:p>
    <w:p w14:paraId="0435BC3B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.2 Multiplicative Score Calibration</w:t>
      </w:r>
    </w:p>
    <w:p w14:paraId="2EF91F62">
      <w:r>
        <w:t xml:space="preserve">We calibrate the final HOI scores by applying a rescaling factor based on the class category (Seen vs. Unseen) and specific confusion patterns. Let </w:t>
      </w:r>
      <w:r>
        <w:rPr>
          <w:position w:val="-12"/>
        </w:rPr>
        <w:object>
          <v:shape id="_x0000_i1061" o:spt="75" type="#_x0000_t75" style="height:18.75pt;width:50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AxMath" ShapeID="_x0000_i1061" DrawAspect="Content" ObjectID="_1468075731" r:id="rId19">
            <o:LockedField>false</o:LockedField>
          </o:OLEObject>
        </w:object>
      </w:r>
      <w:r>
        <w:t xml:space="preserve"> denote the initial probability score for the </w:t>
      </w:r>
      <w:r>
        <w:rPr>
          <w:position w:val="-12"/>
        </w:rPr>
        <w:object>
          <v:shape id="_x0000_i1062" o:spt="75" type="#_x0000_t75" style="height:17.9pt;width:6.6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AxMath" ShapeID="_x0000_i1062" DrawAspect="Content" ObjectID="_1468075732" r:id="rId21">
            <o:LockedField>false</o:LockedField>
          </o:OLEObject>
        </w:object>
      </w:r>
      <w:r>
        <w:t xml:space="preserve">-th HOI class, where </w:t>
      </w:r>
      <w:r>
        <w:rPr>
          <w:position w:val="-12"/>
        </w:rPr>
        <w:object>
          <v:shape id="_x0000_i1063" o:spt="75" type="#_x0000_t75" style="height:18.75pt;width:23.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AxMath" ShapeID="_x0000_i1063" DrawAspect="Content" ObjectID="_1468075733" r:id="rId23">
            <o:LockedField>false</o:LockedField>
          </o:OLEObject>
        </w:object>
      </w:r>
      <w:r>
        <w:t xml:space="preserve"> is the sigmoid function. The calibrated score </w:t>
      </w:r>
      <w:r>
        <w:rPr>
          <w:position w:val="-12"/>
        </w:rPr>
        <w:object>
          <v:shape id="_x0000_i1064" o:spt="75" type="#_x0000_t75" style="height:17.9pt;width:12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AxMath" ShapeID="_x0000_i1064" DrawAspect="Content" ObjectID="_1468075734" r:id="rId25">
            <o:LockedField>false</o:LockedField>
          </o:OLEObject>
        </w:object>
      </w:r>
      <w:r>
        <w:t xml:space="preserve"> is computed as follows:</w:t>
      </w:r>
    </w:p>
    <w:p w14:paraId="11877636">
      <w:r>
        <w:t>Where:</w:t>
      </w:r>
    </w:p>
    <w:p w14:paraId="5D48DA67">
      <w:pPr>
        <w:jc w:val="center"/>
      </w:pPr>
      <w:r>
        <w:rPr>
          <w:position w:val="-55"/>
        </w:rPr>
        <w:object>
          <v:shape id="_x0000_i1065" o:spt="75" type="#_x0000_t75" style="height:62pt;width:122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AxMath" ShapeID="_x0000_i1065" DrawAspect="Content" ObjectID="_1468075735" r:id="rId27">
            <o:LockedField>false</o:LockedField>
          </o:OLEObject>
        </w:object>
      </w:r>
    </w:p>
    <w:p w14:paraId="1574D57F">
      <w:r>
        <w:rPr>
          <w:position w:val="-12"/>
        </w:rPr>
        <w:object>
          <v:shape id="_x0000_i1066" o:spt="75" type="#_x0000_t75" style="height:17.9pt;width:25.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AxMath" ShapeID="_x0000_i1066" DrawAspect="Content" ObjectID="_1468075736" r:id="rId29">
            <o:LockedField>false</o:LockedField>
          </o:OLEObject>
        </w:object>
      </w:r>
      <w:r>
        <w:t xml:space="preserve"> represents the set of "confusing" seen classes that exhibit high false-positive rates. Based on our error analysis, we identify key indices and assign specific suppression factors</w:t>
      </w:r>
      <w:r>
        <w:rPr>
          <w:position w:val="-12"/>
        </w:rPr>
        <w:object>
          <v:shape id="_x0000_i1067" o:spt="75" type="#_x0000_t75" style="height:17.9pt;width:12.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67" DrawAspect="Content" ObjectID="_1468075737" r:id="rId31">
            <o:LockedField>false</o:LockedField>
          </o:OLEObject>
        </w:object>
      </w:r>
      <w:r>
        <w:t xml:space="preserve">. For instance, we set </w:t>
      </w:r>
      <w:r>
        <w:rPr>
          <w:position w:val="-12"/>
        </w:rPr>
        <w:object>
          <v:shape id="_x0000_i1068" o:spt="75" type="#_x0000_t75" style="height:17.9pt;width:55.7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068" DrawAspect="Content" ObjectID="_1468075738" r:id="rId33">
            <o:LockedField>false</o:LockedField>
          </o:OLEObject>
        </w:object>
      </w:r>
      <w:r>
        <w:t xml:space="preserve"> and </w:t>
      </w:r>
      <w:r>
        <w:rPr>
          <w:position w:val="-12"/>
        </w:rPr>
        <w:object>
          <v:shape id="_x0000_i1069" o:spt="75" type="#_x0000_t75" style="height:17.9pt;width:6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069" DrawAspect="Content" ObjectID="_1468075739" r:id="rId35">
            <o:LockedField>false</o:LockedField>
          </o:OLEObject>
        </w:object>
      </w:r>
      <w:r>
        <w:t>to significantly suppress high-frequency errors, while other identified indices {168, 276, 380, 598} are assigned a factor of 0.2.</w:t>
      </w:r>
    </w:p>
    <w:p w14:paraId="5DEC8A78">
      <w:r>
        <w:rPr>
          <w:position w:val="-12"/>
        </w:rPr>
        <w:object>
          <v:shape id="_x0000_i1070" o:spt="75" type="#_x0000_t75" style="height:17.9pt;width:34.1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AxMath" ShapeID="_x0000_i1070" DrawAspect="Content" ObjectID="_1468075740" r:id="rId37">
            <o:LockedField>false</o:LockedField>
          </o:OLEObject>
        </w:object>
      </w:r>
      <w:r>
        <w:t xml:space="preserve"> denotes the set of zero-shot HOI classes. To encourage the model to prioritize these interactions, we apply a global boost factor </w:t>
      </w:r>
      <w:r>
        <w:rPr>
          <w:position w:val="-12"/>
        </w:rPr>
        <w:object>
          <v:shape id="_x0000_i1071" o:spt="75" type="#_x0000_t75" style="height:17.9pt;width:49.5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AxMath" ShapeID="_x0000_i1071" DrawAspect="Content" ObjectID="_1468075741" r:id="rId39">
            <o:LockedField>false</o:LockedField>
          </o:OLEObject>
        </w:object>
      </w:r>
      <w:r>
        <w:t>.</w:t>
      </w:r>
    </w:p>
    <w:p w14:paraId="2F84B544">
      <w:r>
        <w:t>This recalibration effectively reshapes the decision boundaries without altering the underlying feature representations. By selectively suppressing over-confident seen classes and marginally boosting unseen ones, the SB strategy significantly enhances the model's sensitivity to novel HOI categories while maintaining robust performance on seen data.</w:t>
      </w:r>
    </w:p>
    <w:p w14:paraId="0068C598"/>
    <w:p w14:paraId="69637DAD">
      <w:r>
        <w:t>[1] Chao, Y.-W., Wang, Z., He, Y., Wang, J., &amp; Deng, J. (2015). HICO: A Benchmark for Recognizing Human-Object Interactions in Images. International Conference on Computer Vision, 1017–1025. https://doi.org/10.1109/ICCV.2015.122</w:t>
      </w:r>
    </w:p>
    <w:p w14:paraId="55B82969">
      <w:r>
        <w:t xml:space="preserve">[2] Carion, Nicolas, et al. “End-to-End Object Detection with Transformers.” European Conference on Computer Vision, Springer, Cham, 2020, pp. 213–29, doi:10.1007/978-3-030-58452-8_13. </w:t>
      </w:r>
    </w:p>
    <w:p w14:paraId="32659DD0">
      <w:r>
        <w:t>[3] Sutskever, Ilya, et al. “Learning Transferable Visual Models From Natural Language Supervision.” ArXiv: Computer Vision and Pattern Recognition, Feb. 2021.</w:t>
      </w:r>
    </w:p>
    <w:p w14:paraId="3B26004E">
      <w:r>
        <w:t>[4] Mu, Tingting, and Alessio Sarullo. “Zero-Shot Human-Object Interaction Recognition via Affordance Graphs.” ArXiv: Computer Vision and Pattern Recognition, Sept. 2020.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B5F7F"/>
    <w:multiLevelType w:val="singleLevel"/>
    <w:tmpl w:val="675B5F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9292364"/>
    <w:multiLevelType w:val="multilevel"/>
    <w:tmpl w:val="692923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9AC"/>
    <w:rsid w:val="0003061D"/>
    <w:rsid w:val="0007161C"/>
    <w:rsid w:val="000758AF"/>
    <w:rsid w:val="001C4469"/>
    <w:rsid w:val="001F4658"/>
    <w:rsid w:val="002167E7"/>
    <w:rsid w:val="003311CF"/>
    <w:rsid w:val="003F56B6"/>
    <w:rsid w:val="004345AD"/>
    <w:rsid w:val="004544DE"/>
    <w:rsid w:val="004B13BB"/>
    <w:rsid w:val="004B71CC"/>
    <w:rsid w:val="004C1265"/>
    <w:rsid w:val="00521A7A"/>
    <w:rsid w:val="005C1575"/>
    <w:rsid w:val="006A212C"/>
    <w:rsid w:val="006A37CE"/>
    <w:rsid w:val="006C04F5"/>
    <w:rsid w:val="008D2D53"/>
    <w:rsid w:val="00966645"/>
    <w:rsid w:val="009E72EA"/>
    <w:rsid w:val="00A44AB3"/>
    <w:rsid w:val="00B022D0"/>
    <w:rsid w:val="00B11D1B"/>
    <w:rsid w:val="00B259AC"/>
    <w:rsid w:val="00B52D36"/>
    <w:rsid w:val="00B76E57"/>
    <w:rsid w:val="00BC0AA6"/>
    <w:rsid w:val="00BD7B96"/>
    <w:rsid w:val="00C8528E"/>
    <w:rsid w:val="00D071F9"/>
    <w:rsid w:val="00D60713"/>
    <w:rsid w:val="00D96BD9"/>
    <w:rsid w:val="00DD0D81"/>
    <w:rsid w:val="00E97C2D"/>
    <w:rsid w:val="00F31FD9"/>
    <w:rsid w:val="00F453E6"/>
    <w:rsid w:val="00F661F2"/>
    <w:rsid w:val="3AA973AF"/>
    <w:rsid w:val="424E4D56"/>
    <w:rsid w:val="4A2B0D15"/>
    <w:rsid w:val="4A5D6CA6"/>
    <w:rsid w:val="6AEE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Theme="minorEastAsia" w:cstheme="minorBidi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customStyle="1" w:styleId="6">
    <w:name w:val="三线表"/>
    <w:basedOn w:val="4"/>
    <w:qFormat/>
    <w:uiPriority w:val="99"/>
    <w:rPr>
      <w:rFonts w:ascii="Times New Roman" w:hAnsi="Times New Roman" w:eastAsia="宋体"/>
      <w:sz w:val="24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b/>
      </w:rPr>
      <w:tcPr>
        <w:tcBorders>
          <w:bottom w:val="single" w:color="auto" w:sz="4" w:space="0"/>
        </w:tcBorders>
      </w:tcPr>
    </w:tblStylePr>
  </w:style>
  <w:style w:type="character" w:customStyle="1" w:styleId="7">
    <w:name w:val="ts-alignment-element"/>
    <w:basedOn w:val="5"/>
    <w:qFormat/>
    <w:uiPriority w:val="0"/>
  </w:style>
  <w:style w:type="character" w:customStyle="1" w:styleId="8">
    <w:name w:val="ts-alignment-element-highlighted"/>
    <w:basedOn w:val="5"/>
    <w:qFormat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footnotes" Target="footnotes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png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1553</Words>
  <Characters>8648</Characters>
  <Lines>61</Lines>
  <Paragraphs>17</Paragraphs>
  <TotalTime>44</TotalTime>
  <ScaleCrop>false</ScaleCrop>
  <LinksUpToDate>false</LinksUpToDate>
  <CharactersWithSpaces>10063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2026-02-25T03:00:00Z</dcterms:created>
  <dc:creator>甜 王</dc:creator>
  <cp:lastModifiedBy>刘婕</cp:lastModifiedBy>
  <cp:lastPrinted>2026-02-26T12:46:00Z</cp:lastPrinted>
  <dcterms:modified xsi:type="dcterms:W3CDTF">2026-03-08T00:33:03Z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KSOTemplateDocerSaveRecord">
    <vt:lpwstr>eyJoZGlkIjoiY2Q4MDE2ZjQyN2QwOTA4Nzg1YjZjZWM5NmJkYWM0YjkiLCJ1c2VySWQiOiI3Njk5MjczNDEifQ==</vt:lpwstr>
  </property>
  <property fmtid="{D5CDD505-2E9C-101B-9397-08002B2CF9AE}" pid="4" name="KSOProductBuildVer">
    <vt:lpwstr>2052-12.1.0.25225</vt:lpwstr>
  </property>
  <property fmtid="{D5CDD505-2E9C-101B-9397-08002B2CF9AE}" pid="5" name="ICV">
    <vt:lpwstr>963A75BCB249495CA5D131D491D4B5F3_13</vt:lpwstr>
  </property>
</Properties>
</file>