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b/>
          <w:bCs/>
          <w:color w:val="1B2631"/>
          <w:sz w:val="52"/>
          <w:szCs w:val="52"/>
        </w:rPr>
        <w:t xml:space="preserve">🌞 隆基绿能科技股份有限公司</w:t>
      </w:r>
    </w:p>
    <w:p>
      <w:pPr>
        <w:spacing w:after="80" w:before="0"/>
        <w:jc w:val="center"/>
      </w:pPr>
      <w:r>
        <w:rPr>
          <w:color w:val="2980B9"/>
          <w:sz w:val="30"/>
          <w:szCs w:val="30"/>
        </w:rPr>
        <w:t xml:space="preserve">LONGi Green Energy Technology Co., Ltd.</w:t>
      </w:r>
    </w:p>
    <w:p>
      <w:pPr>
        <w:spacing w:after="80" w:before="0"/>
        <w:jc w:val="center"/>
      </w:pPr>
      <w:r>
        <w:rPr>
          <w:color w:val="2C3E50"/>
          <w:sz w:val="24"/>
          <w:szCs w:val="24"/>
        </w:rPr>
        <w:t xml:space="preserve">601012.SS · 上海证券交易所</w:t>
      </w:r>
    </w:p>
    <w:p>
      <w:pPr>
        <w:spacing w:after="240" w:before="0"/>
        <w:jc w:val="center"/>
      </w:pPr>
      <w:r>
        <w:rPr>
          <w:color w:val="2C3E50"/>
          <w:sz w:val="24"/>
          <w:szCs w:val="24"/>
        </w:rPr>
        <w:t xml:space="preserve">综合投资分析报告 | 2026年3月23日</w:t>
      </w:r>
    </w:p>
    <w:p>
      <w:pPr>
        <w:pBdr>
          <w:bottom w:val="single" w:color="2980B9" w:sz="6"/>
        </w:pBdr>
        <w:spacing w:after="120" w:before="120"/>
      </w:pPr>
    </w:p>
    <w:p>
      <w:pPr>
        <w:shd w:fill="C0392B" w:val="clear"/>
        <w:spacing w:after="80" w:before="240"/>
        <w:jc w:val="center"/>
      </w:pPr>
      <w:r>
        <w:rPr>
          <w:b/>
          <w:bCs/>
          <w:color w:val="FFFFFF"/>
          <w:sz w:val="40"/>
          <w:szCs w:val="40"/>
        </w:rPr>
        <w:t xml:space="preserve">✅ 最终投资决策：SELL（减持）</w:t>
      </w:r>
    </w:p>
    <w:p>
      <w:pPr>
        <w:shd w:fill="FDEDEC" w:val="clear"/>
        <w:spacing w:after="240" w:before="0"/>
        <w:jc w:val="center"/>
      </w:pPr>
      <w:r>
        <w:rPr>
          <w:b/>
          <w:bCs/>
          <w:color w:val="C0392B"/>
          <w:sz w:val="24"/>
          <w:szCs w:val="24"/>
        </w:rPr>
        <w:t xml:space="preserve">当前价格 ¥18.99 | 目标1 ¥15.50 | 目标2 ¥12.00 | 止损 ¥20.25</w:t>
      </w:r>
    </w:p>
    <w:p>
      <w:pPr>
        <w:pBdr>
          <w:bottom w:val="single" w:color="2980B9" w:sz="6"/>
        </w:pBdr>
        <w:spacing w:after="120" w:before="120"/>
      </w:pPr>
    </w:p>
    <w:p>
      <w:pPr>
        <w:spacing w:after="40"/>
      </w:pPr>
      <w:r>
        <w:rPr>
          <w:i/>
          <w:iCs/>
          <w:color w:val="2C3E50"/>
          <w:sz w:val="20"/>
          <w:szCs w:val="20"/>
        </w:rPr>
        <w:t xml:space="preserve">分析机构：Trading Agents Copilot 多智能体系统</w:t>
      </w:r>
    </w:p>
    <w:p>
      <w:pPr>
        <w:spacing w:after="40"/>
      </w:pPr>
      <w:r>
        <w:rPr>
          <w:i/>
          <w:iCs/>
          <w:color w:val="2C3E50"/>
          <w:sz w:val="20"/>
          <w:szCs w:val="20"/>
        </w:rPr>
        <w:t xml:space="preserve">分析日期：2026年3月23日</w:t>
      </w:r>
    </w:p>
    <w:p>
      <w:pPr>
        <w:spacing w:after="40"/>
      </w:pPr>
      <w:r>
        <w:rPr>
          <w:i/>
          <w:iCs/>
          <w:color w:val="2C3E50"/>
          <w:sz w:val="20"/>
          <w:szCs w:val="20"/>
        </w:rPr>
        <w:t xml:space="preserve">当前股价：¥18.99 人民币</w:t>
      </w:r>
    </w:p>
    <w:p>
      <w:pPr>
        <w:spacing w:after="240"/>
      </w:pPr>
      <w:r>
        <w:rPr>
          <w:i/>
          <w:iCs/>
          <w:color w:val="2C3E50"/>
          <w:sz w:val="20"/>
          <w:szCs w:val="20"/>
        </w:rPr>
        <w:t xml:space="preserve">市值：约¥142.6亿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B2631"/>
          <w:sz w:val="40"/>
          <w:szCs w:val="40"/>
        </w:rPr>
        <w:t xml:space="preserve">一、执行摘要 Executive Summary</w:t>
      </w:r>
    </w:p>
    <w:p>
      <w:pPr>
        <w:pBdr>
          <w:bottom w:val="single" w:color="2980B9" w:sz="6"/>
        </w:pBdr>
        <w:spacing w:after="120" w:before="120"/>
      </w:pPr>
    </w:p>
    <w:p>
      <w:pPr>
        <w:spacing w:after="80" w:before="80"/>
      </w:pPr>
      <w:r>
        <w:rPr>
          <w:sz w:val="22"/>
          <w:szCs w:val="22"/>
        </w:rPr>
        <w:t xml:space="preserve">隆基绿能是全球领先的单晶硅光伏制造商，拥有世界纪录级BC电池技术（26.81%效率）。然而，公司当前处于行业史上最严峻的供需失衡周期中：全球产能900-1000GW对比600GW需求，光伏组件ASP跌至¥0.68-0.72/W接近现金成本。FY2024净亏损¥86.2亿（史上首次亏损），FCF TTM -¥54.1亿。</w:t>
      </w:r>
    </w:p>
    <w:p>
      <w:pPr>
        <w:spacing w:after="80" w:before="80"/>
      </w:pPr>
      <w:r>
        <w:rPr>
          <w:sz w:val="22"/>
          <w:szCs w:val="22"/>
        </w:rPr>
        <w:t xml:space="preserve">尽管Q2 2025毛利率回正（+1.6%）且净现金达¥192.5亿，但39.4倍前向市盈率严重透支了尚未实现的复苏预期。当前股价¥18.99对应2.49倍市净率，不具吸引力。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经全套多智能体辩论分析框架评估，四阶段（技术+情绪+新闻+基本面→多空辩论→交易员→风险辩论）一致给出 SELL 评级。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B2631"/>
          <w:sz w:val="40"/>
          <w:szCs w:val="40"/>
        </w:rPr>
        <w:t xml:space="preserve">二、关键指标速览</w:t>
      </w:r>
    </w:p>
    <w:p>
      <w:pPr>
        <w:pBdr>
          <w:bottom w:val="single" w:color="2980B9" w:sz="6"/>
        </w:pBd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30%"/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pct" w:w="35%"/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评估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当前股价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¥18.99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⚠️ 高估</w:t>
            </w:r>
          </w:p>
        </w:tc>
      </w:tr>
      <w:tr>
        <w:tc>
          <w:tcPr>
            <w:shd w:fill="F2F3F4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52周区间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¥14.01 – ¥23.57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近低点反弹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市值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¥142.6亿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2F3F4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FY2024净利润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-¥86.2亿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🔴 首次亏损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Q2 2025毛利率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+1.6%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⚠️ 极低</w:t>
            </w:r>
          </w:p>
        </w:tc>
      </w:tr>
      <w:tr>
        <w:tc>
          <w:tcPr>
            <w:shd w:fill="F2F3F4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FCF (TTM)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-¥54.1亿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🔴 负现金流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净现金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¥192.5亿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护城河</w:t>
            </w:r>
          </w:p>
        </w:tc>
      </w:tr>
      <w:tr>
        <w:tc>
          <w:tcPr>
            <w:shd w:fill="F2F3F4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市净率 P/B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2.49x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🔴 高于同业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前向市盈率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39.4x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🔴 脱离现实</w:t>
            </w:r>
          </w:p>
        </w:tc>
      </w:tr>
      <w:tr>
        <w:tc>
          <w:tcPr>
            <w:shd w:fill="F2F3F4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RSI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57.17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⚠️ 中性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组件ASP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¥0.68-0.72/W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🔴 接近盈亏平衡</w:t>
            </w:r>
          </w:p>
        </w:tc>
      </w:tr>
      <w:tr>
        <w:tc>
          <w:tcPr>
            <w:shd w:fill="F2F3F4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BC电池效率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26.81%（世界纪录）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技术领先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董事长持股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+1000万股（8批次）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内部人增持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B2631"/>
          <w:sz w:val="40"/>
          <w:szCs w:val="40"/>
        </w:rPr>
        <w:t xml:space="preserve">三、四维分析报告（Phase 1）</w:t>
      </w:r>
    </w:p>
    <w:p>
      <w:pPr>
        <w:pBdr>
          <w:bottom w:val="single" w:color="2980B9" w:sz="6"/>
        </w:pBd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980B9"/>
          <w:sz w:val="32"/>
          <w:szCs w:val="32"/>
        </w:rPr>
        <w:t xml:space="preserve">3.1 技术面分析</w:t>
      </w:r>
    </w:p>
    <w:p>
      <w:pPr>
        <w:spacing w:after="80" w:before="80"/>
      </w:pPr>
      <w:r>
        <w:rPr>
          <w:b/>
          <w:bCs/>
          <w:color w:val="F39C12"/>
          <w:sz w:val="22"/>
          <w:szCs w:val="22"/>
        </w:rPr>
        <w:t xml:space="preserve">评级：适度看多 62%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股价从¥17.58低点V形反弹（+7.97%），已确认MACD看多交叉（3月12日）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RSI 57.17，位于50日/200日均线（¥18.47）之上，布林带上轨¥19.18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3月20日出现447M股超大成交量分配蜡烛：日内冲至¥19.60阻力位后大幅收阴，收盘¥18.99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ATR 0.651，波动率从压缩状态扩张。近期支撑：¥17.58/¥18.41；阻力：¥19.18/¥19.60</w:t>
      </w:r>
    </w:p>
    <w:p>
      <w:pPr>
        <w:spacing w:after="80" w:before="80"/>
      </w:pPr>
      <w:r>
        <w:rPr>
          <w:b/>
          <w:bCs/>
          <w:color w:val="C0392B"/>
          <w:sz w:val="22"/>
          <w:szCs w:val="22"/>
        </w:rPr>
        <w:t xml:space="preserve">⚠️ 关键技术信号：3月20日447M成交量分配K线为机构出货信号，而非突破。</w:t>
      </w:r>
    </w:p>
    <w:p>
      <w:pPr>
        <w:pStyle w:val="Heading2"/>
        <w:spacing w:after="120" w:before="240"/>
      </w:pPr>
      <w:r>
        <w:rPr>
          <w:b/>
          <w:bCs/>
          <w:color w:val="2980B9"/>
          <w:sz w:val="32"/>
          <w:szCs w:val="32"/>
        </w:rPr>
        <w:t xml:space="preserve">3.2 情绪面分析</w:t>
      </w:r>
    </w:p>
    <w:p>
      <w:pPr>
        <w:spacing w:after="80" w:before="80"/>
      </w:pPr>
      <w:r>
        <w:rPr>
          <w:b/>
          <w:bCs/>
          <w:color w:val="F39C12"/>
          <w:sz w:val="22"/>
          <w:szCs w:val="22"/>
        </w:rPr>
        <w:t xml:space="preserve">评级：谨慎中性 55%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董事长钟宝申2024年5月至2025年11月间，分8批次合计买入约1000万股（约2.27亿元），零卖出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路透社"史上最糟糕的一年"等悲观报道已被市场消化，散户情绪疲惫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BC技术在小圈子内有关注度，但缺乏正面价格催化剂</w:t>
      </w:r>
    </w:p>
    <w:p>
      <w:pPr>
        <w:spacing w:after="80" w:before="80"/>
      </w:pPr>
      <w:r>
        <w:rPr>
          <w:i/>
          <w:iCs/>
          <w:color w:val="2C3E50"/>
          <w:sz w:val="22"/>
          <w:szCs w:val="22"/>
        </w:rPr>
        <w:t xml:space="preserve">内部人增持信号强烈，但不足以单独支撑买入逻辑。历史上Suntech、LDK等公司CEO在破产前也持续增持。</w:t>
      </w:r>
    </w:p>
    <w:p>
      <w:pPr>
        <w:pStyle w:val="Heading2"/>
        <w:spacing w:after="120" w:before="240"/>
      </w:pPr>
      <w:r>
        <w:rPr>
          <w:b/>
          <w:bCs/>
          <w:color w:val="2980B9"/>
          <w:sz w:val="32"/>
          <w:szCs w:val="32"/>
        </w:rPr>
        <w:t xml:space="preserve">3.3 新闻与宏观分析</w:t>
      </w:r>
    </w:p>
    <w:p>
      <w:pPr>
        <w:spacing w:after="80" w:before="80"/>
      </w:pPr>
      <w:r>
        <w:rPr>
          <w:b/>
          <w:bCs/>
          <w:color w:val="C0392B"/>
          <w:sz w:val="22"/>
          <w:szCs w:val="22"/>
        </w:rPr>
        <w:t xml:space="preserve">评级：看空 72%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伊朗/霍尔木兹海峡紧张局势引发风险规避情绪，冲击新兴市场资产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美国AD/CVD关税封锁美国市场；加拿大太阳能Q4业绩不及预期，负面传导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全球产能900-1000GW vs 需求600GW，结构性产能过剩33-67%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组件ASP ¥0.68-0.72/W处于接近/低于现金成本水平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中国PBOC维持宽松基调，国内装机目标不变，长期利好新能源</w:t>
      </w:r>
    </w:p>
    <w:p>
      <w:pPr>
        <w:pStyle w:val="Heading2"/>
        <w:spacing w:after="120" w:before="240"/>
      </w:pPr>
      <w:r>
        <w:rPr>
          <w:b/>
          <w:bCs/>
          <w:color w:val="2980B9"/>
          <w:sz w:val="32"/>
          <w:szCs w:val="32"/>
        </w:rPr>
        <w:t xml:space="preserve">3.4 基本面分析</w:t>
      </w:r>
    </w:p>
    <w:p>
      <w:pPr>
        <w:spacing w:after="80" w:before="80"/>
      </w:pPr>
      <w:r>
        <w:rPr>
          <w:b/>
          <w:bCs/>
          <w:color w:val="F39C12"/>
          <w:sz w:val="22"/>
          <w:szCs w:val="22"/>
        </w:rPr>
        <w:t xml:space="preserve">评级：中性偏谨慎看多 52%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FY2024净亏损¥86.2亿（史上首次亏损），营收同比-36.2%至¥826亿，毛利率7.4%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Q2 2025毛利率回正至+1.6%，FCF Q2 2025转正（+¥3.74亿），净现金¥192.5亿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库存同比-37.8%，BC电池效率世界纪录26.81%，马来西亚7GW产能应对UFLPA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前向市盈率39.4x需要净利润¥36.3亿——而当前季度亏损¥11.3亿，差距悬殊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B2631"/>
          <w:sz w:val="40"/>
          <w:szCs w:val="40"/>
        </w:rPr>
        <w:t xml:space="preserve">四、多空辩论（Phase 2）</w:t>
      </w:r>
    </w:p>
    <w:p>
      <w:pPr>
        <w:pBdr>
          <w:bottom w:val="single" w:color="2980B9" w:sz="6"/>
        </w:pBd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7AE60"/>
          <w:sz w:val="32"/>
          <w:szCs w:val="32"/>
        </w:rPr>
        <w:t xml:space="preserve">4.1 多方核心论点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FY2024亏损为周期低点：Q2 2025毛利率已回正，库存去化-37.8%，资本开支Q2 2025骤降75%至¥8.89亿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净现金¥192.5亿 ≈ ¥15.6/股，实际仅支付¥3.39/股购买全部业务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BC电池26.81%效率，比TOPCon高2-3%，可获¥0.10-0.15/W溢价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行业整合正在发生：通威暂停30GW产能，三线厂商陆续退出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董事长8批次增持为强烈信号；FCF Q2 2025已转正（+¥3.74亿）</w:t>
      </w:r>
    </w:p>
    <w:p>
      <w:pPr>
        <w:pStyle w:val="Heading2"/>
        <w:spacing w:after="120" w:before="240"/>
      </w:pPr>
      <w:r>
        <w:rPr>
          <w:b/>
          <w:bCs/>
          <w:color w:val="C0392B"/>
          <w:sz w:val="32"/>
          <w:szCs w:val="32"/>
        </w:rPr>
        <w:t xml:space="preserve">4.2 空方核心论点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Q1 2025毛利润为-¥5.71亿（负毛利率）；Q2 2025仅+1.6%，1.6%的ASP下跌即归零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Q2 2025净亏损仍达¥11.3亿（含减值、三费等）；TTM FCF -¥54.1亿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负债从¥273亿升至¥324亿，建设中工程由¥4.55亿升至¥7.44亿，资本开支并未结束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政策性银行持续为僵尸产能输血，行业整合可能需要2028年以后才能实现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前向市盈率39.4x严重脱离现实；中国太阳能CEO历史上屡次误判周期底部</w:t>
      </w:r>
    </w:p>
    <w:p>
      <w:pPr>
        <w:pStyle w:val="Heading2"/>
        <w:spacing w:after="120" w:before="240"/>
      </w:pPr>
      <w:r>
        <w:rPr>
          <w:b/>
          <w:bCs/>
          <w:color w:val="2C3E50"/>
          <w:sz w:val="32"/>
          <w:szCs w:val="32"/>
        </w:rPr>
        <w:t xml:space="preserve">4.3 研究主任裁决</w:t>
      </w:r>
    </w:p>
    <w:p>
      <w:pPr>
        <w:spacing w:after="80" w:before="80"/>
      </w:pPr>
      <w:r>
        <w:rPr>
          <w:b/>
          <w:bCs/>
          <w:color w:val="C0392B"/>
          <w:sz w:val="22"/>
          <w:szCs w:val="22"/>
        </w:rPr>
        <w:t xml:space="preserve">SELL — 中等信心</w:t>
      </w:r>
    </w:p>
    <w:p>
      <w:pPr>
        <w:spacing w:after="80" w:before="80"/>
      </w:pPr>
      <w:r>
        <w:rPr>
          <w:sz w:val="22"/>
          <w:szCs w:val="22"/>
        </w:rPr>
        <w:t xml:space="preserve">空方在三个关键争议点占优：估值逻辑破裂（39.4x PE需¥80亿利润逆转）、结构性产能过剩非短期问题（需18-24个月）、技术反弹为分配机会而非趋势确立。</w:t>
      </w:r>
    </w:p>
    <w:p>
      <w:pPr>
        <w:spacing w:after="80" w:before="80"/>
      </w:pPr>
      <w:r>
        <w:rPr>
          <w:sz w:val="22"/>
          <w:szCs w:val="22"/>
        </w:rPr>
        <w:t xml:space="preserve">毛利率复苏为真实信号，但Q2 2025净亏¥11.3亿表明距盈亏平衡仍需毛利率从1.6%升至8-10%。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B2631"/>
          <w:sz w:val="40"/>
          <w:szCs w:val="40"/>
        </w:rPr>
        <w:t xml:space="preserve">五、交易员执行方案（Phase 3）</w:t>
      </w:r>
    </w:p>
    <w:p>
      <w:pPr>
        <w:pBdr>
          <w:bottom w:val="single" w:color="2980B9" w:sz="6"/>
        </w:pBdr>
        <w:spacing w:after="120" w:before="120"/>
      </w:pPr>
    </w:p>
    <w:p>
      <w:pPr>
        <w:shd w:fill="C0392B" w:val="clear"/>
        <w:spacing w:after="160" w:before="160"/>
        <w:jc w:val="center"/>
      </w:pPr>
      <w:r>
        <w:rPr>
          <w:b/>
          <w:bCs/>
          <w:color w:val="FFFFFF"/>
          <w:sz w:val="36"/>
          <w:szCs w:val="36"/>
        </w:rPr>
        <w:t xml:space="preserve">FINAL TRANSACTION PROPOSAL: SELL</w:t>
      </w:r>
    </w:p>
    <w:p>
      <w:pPr>
        <w:pStyle w:val="Heading2"/>
        <w:spacing w:after="120" w:before="240"/>
      </w:pPr>
      <w:r>
        <w:rPr>
          <w:b/>
          <w:bCs/>
          <w:color w:val="2980B9"/>
          <w:sz w:val="32"/>
          <w:szCs w:val="32"/>
        </w:rPr>
        <w:t xml:space="preserve">执行计划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pct" w:w="70%"/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操作方向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SELL（卖出现有多头 / 融券做空）</w:t>
            </w:r>
          </w:p>
        </w:tc>
      </w:tr>
      <w:tr>
        <w:tc>
          <w:tcPr>
            <w:shd w:fill="F2F3F4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分批1（40%）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¥18.90-18.99，开盘限价委托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分批2（35%）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¥19.05-19.15，反弹时卖入（条件单）</w:t>
            </w:r>
          </w:p>
        </w:tc>
      </w:tr>
      <w:tr>
        <w:tc>
          <w:tcPr>
            <w:shd w:fill="F2F3F4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分批3（25%）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¥18.41以下日线收盘确认时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仓位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组合4%（中等）</w:t>
            </w:r>
          </w:p>
        </w:tc>
      </w:tr>
      <w:tr>
        <w:tc>
          <w:tcPr>
            <w:shd w:fill="F2F3F4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硬止损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¥20.25（GTC）— 3月20日分配K线上方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警戒位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¥19.60 — 触碰后减仓50%</w:t>
            </w:r>
          </w:p>
        </w:tc>
      </w:tr>
      <w:tr>
        <w:tc>
          <w:tcPr>
            <w:shd w:fill="F2F3F4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目标1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¥15.50 — 平仓60%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目标2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¥12.00 — 平仓40%</w:t>
            </w:r>
          </w:p>
        </w:tc>
      </w:tr>
      <w:tr>
        <w:tc>
          <w:tcPr>
            <w:shd w:fill="F2F3F4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交易类型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持仓交易（6-14个月）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首要监控风险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NDRC组件最低价格政策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C0392B"/>
          <w:sz w:val="32"/>
          <w:szCs w:val="32"/>
        </w:rPr>
        <w:t xml:space="preserve">A股特殊风险提示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10%涨停板机制：政策公告可能导致止损无法执行，务必预设GTC回购委托于¥20.25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融券成本约5-7%年化，纳入持仓P&amp;L计算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T+1交割：当日买入次日才能卖出，融券卖出当日可执行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B2631"/>
          <w:sz w:val="40"/>
          <w:szCs w:val="40"/>
        </w:rPr>
        <w:t xml:space="preserve">六、风险辩论（Phase 4）</w:t>
      </w:r>
    </w:p>
    <w:p>
      <w:pPr>
        <w:pBdr>
          <w:bottom w:val="single" w:color="2980B9" w:sz="6"/>
        </w:pBd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分析师</w:t>
            </w:r>
          </w:p>
        </w:tc>
        <w:tc>
          <w:tcPr>
            <w:tcW w:type="pct" w:w="15%"/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仓位建议</w:t>
            </w:r>
          </w:p>
        </w:tc>
        <w:tc>
          <w:tcPr>
            <w:tcW w:type="pct" w:w="12%"/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止损</w:t>
            </w:r>
          </w:p>
        </w:tc>
        <w:tc>
          <w:tcPr>
            <w:tcW w:type="pct" w:w="12%"/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目标2</w:t>
            </w:r>
          </w:p>
        </w:tc>
        <w:tc>
          <w:tcPr>
            <w:tcW w:type="pct" w:w="15%"/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NDRC概率</w:t>
            </w:r>
          </w:p>
        </w:tc>
        <w:tc>
          <w:tcPr>
            <w:tcW w:type="pct" w:w="31%"/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核心观点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激进派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6-7%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¥19.80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¥9.00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15-20%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"融化中的冰块，应全力做空"</w:t>
            </w:r>
          </w:p>
        </w:tc>
      </w:tr>
      <w:tr>
        <w:tc>
          <w:tcPr>
            <w:shd w:fill="F2F3F4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保守派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最高3%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¥20.50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¥12.00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35-45%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"A股政策风险是致命弱点，谨慎为上"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中性派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2%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¥19.80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¥11.50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25%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"等待¥18.50破位确认后入场"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b/>
          <w:bCs/>
          <w:color w:val="2980B9"/>
          <w:sz w:val="32"/>
          <w:szCs w:val="32"/>
        </w:rPr>
        <w:t xml:space="preserve">风险辩论核心争议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NDRC干预概率：激进派15-20% vs 保守派35-45% vs 中性派25%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仓位规模：1.5% vs 2% vs 4% vs 6-7% — 核心分歧在于A股涨停板的尾部风险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目标2：¥9.00（书面净值侵蚀情景）vs ¥12.00（基本情景）vs ¥11.50（折中）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入场时机：立即入场（技术信号已就位）vs 等待¥18.50跌破确认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对冲结构：纯做空 vs 中性派推荐的"空隆基+多阳光电源(300274.SZ)"配对交易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B2631"/>
          <w:sz w:val="40"/>
          <w:szCs w:val="40"/>
        </w:rPr>
        <w:t xml:space="preserve">七、最终决策（Portfolio Manager）</w:t>
      </w:r>
    </w:p>
    <w:p>
      <w:pPr>
        <w:pBdr>
          <w:bottom w:val="single" w:color="2980B9" w:sz="6"/>
        </w:pBdr>
        <w:spacing w:after="120" w:before="120"/>
      </w:pPr>
    </w:p>
    <w:p>
      <w:pPr>
        <w:shd w:fill="C0392B" w:val="clear"/>
        <w:spacing w:after="200" w:before="200"/>
        <w:jc w:val="center"/>
      </w:pPr>
      <w:r>
        <w:rPr>
          <w:b/>
          <w:bCs/>
          <w:color w:val="FFFFFF"/>
          <w:sz w:val="44"/>
          <w:szCs w:val="44"/>
        </w:rPr>
        <w:t xml:space="preserve">✅ 最终评级：SELL（减持）— 高信心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决策参数</w:t>
            </w:r>
          </w:p>
        </w:tc>
        <w:tc>
          <w:tcPr>
            <w:tcW w:type="pct" w:w="30%"/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最终确定值</w:t>
            </w:r>
          </w:p>
        </w:tc>
        <w:tc>
          <w:tcPr>
            <w:tcW w:type="pct" w:w="42%"/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依据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操作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SELL（减持/做空）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四阶段分析全部指向做空</w:t>
            </w:r>
          </w:p>
        </w:tc>
      </w:tr>
      <w:tr>
        <w:tc>
          <w:tcPr>
            <w:shd w:fill="F2F3F4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总仓位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3%（分两批）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在激进4-7%与保守1.5%之间取中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批次1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2% @ ¥18.99-¥19.10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当前分配K线区域立即执行</w:t>
            </w:r>
          </w:p>
        </w:tc>
      </w:tr>
      <w:tr>
        <w:tc>
          <w:tcPr>
            <w:shd w:fill="F2F3F4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批次2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1% @ ¥18.50跌破确认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等待技术破位二次确认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硬止损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¥20.25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3月20日分配K线上方，保留缓冲</w:t>
            </w:r>
          </w:p>
        </w:tc>
      </w:tr>
      <w:tr>
        <w:tc>
          <w:tcPr>
            <w:shd w:fill="F2F3F4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目标1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¥15.50（平仓60%）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6个月，前期支撑位，R/R 2.8:1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目标2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¥12.00（平仓40%）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12个月，约1.5x净资产值</w:t>
            </w:r>
          </w:p>
        </w:tc>
      </w:tr>
      <w:tr>
        <w:tc>
          <w:tcPr>
            <w:shd w:fill="F2F3F4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组合R/R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约4.0:1（加权）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高于最低2.5:1门槛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NDRC概率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22%（90天内）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介于各方估计之间</w:t>
            </w:r>
          </w:p>
        </w:tc>
      </w:tr>
      <w:tr>
        <w:tc>
          <w:tcPr>
            <w:shd w:fill="F2F3F4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交易结构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直接做空为主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可选加1-2%阳光电源多头对冲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时间跨度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6-12个月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结构性去库存周期</w:t>
            </w:r>
          </w:p>
        </w:tc>
      </w:tr>
      <w:tr>
        <w:tc>
          <w:tcPr>
            <w:shd w:fill="F2F3F4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最大组合损失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约0.20%</w:t>
            </w:r>
          </w:p>
        </w:tc>
        <w:tc>
          <w:tcPr>
            <w:shd w:fill="F2F3F4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3% × 6.6% 止损 = 可控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b/>
          <w:bCs/>
          <w:color w:val="C0392B"/>
          <w:sz w:val="32"/>
          <w:szCs w:val="32"/>
        </w:rPr>
        <w:t xml:space="preserve">强制平仓触发条件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🚨 日线收盘超过¥20.25（硬止损）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🚨 NDRC/发改委任何关于产能约束或最低价格的官方表态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🚨 董事长单次增持超过¥5000万（协调式托底信号）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🚨 出现并购要约或国企接盘传闻</w:t>
      </w:r>
    </w:p>
    <w:p>
      <w:pPr>
        <w:pStyle w:val="Heading2"/>
        <w:spacing w:after="120" w:before="240"/>
      </w:pPr>
      <w:r>
        <w:rPr>
          <w:b/>
          <w:bCs/>
          <w:color w:val="2980B9"/>
          <w:sz w:val="32"/>
          <w:szCs w:val="32"/>
        </w:rPr>
        <w:t xml:space="preserve">关注点监控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⚠️ 组件现货ASP突破¥0.80/W（毛利率恢复转折点）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⚠️ Q1 2026财报（4-5月）：毛利率环比扩张&gt;3%则减仓50%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⚠️ 人民币大幅升值（USD/CNY跌破6.90）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✅ 同业（通威/协鑫）宣布产能实质性退出（加强论据，可加仓）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✅ 组件ASP跌破¥0.65/W（论据强化，可加仓）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B2631"/>
          <w:sz w:val="40"/>
          <w:szCs w:val="40"/>
        </w:rPr>
        <w:t xml:space="preserve">八、投委会简报</w:t>
      </w:r>
    </w:p>
    <w:p>
      <w:pPr>
        <w:pBdr>
          <w:bottom w:val="single" w:color="2980B9" w:sz="6"/>
        </w:pBdr>
        <w:spacing w:after="120" w:before="120"/>
      </w:pPr>
    </w:p>
    <w:p>
      <w:pPr>
        <w:shd w:fill="F2F3F4" w:val="clear"/>
        <w:spacing w:after="80" w:before="120"/>
        <w:ind w:left="360" w:right="360"/>
      </w:pPr>
      <w:r>
        <w:rPr>
          <w:i/>
          <w:iCs/>
          <w:sz w:val="22"/>
          <w:szCs w:val="22"/>
        </w:rPr>
        <w:t xml:space="preserve">隆基绿能在结构性崩溃的行业中运营——900-1000GW产能追逐600GW需求，这不是周期问题，而是将持续18-24个月以上的结构性产能过剩。FY2024净亏损¥86.2亿，FCF -¥54.1亿，组件ASP近乎零毛利率，而¥18.99的股价对应39.4倍前向市盈率，市场定价的复苏仅有25-30%的概率在未来12个月内实现。</w:t>
      </w:r>
    </w:p>
    <w:p>
      <w:pPr>
        <w:spacing w:before="120"/>
      </w:pPr>
    </w:p>
    <w:p>
      <w:pPr>
        <w:spacing w:after="80" w:before="80"/>
      </w:pPr>
      <w:r>
        <w:rPr>
          <w:sz w:val="22"/>
          <w:szCs w:val="22"/>
        </w:rPr>
        <w:t xml:space="preserve">我们以3%组合仓位分两批建立做空头寸（2%立即@¥18.99，1%于¥18.50跌破后），硬止损¥20.25，目标¥15.50（覆盖60%）和¥12.00（覆盖40%），加权R/R约4.0:1，最大组合回撤约0.20%。主要论题杀手是政府主导的行业供给侧整合；我们给予该概率22%，并设定了明确的即时退出触发条件。</w:t>
      </w:r>
    </w:p>
    <w:p>
      <w:pPr>
        <w:spacing w:before="240"/>
      </w:pPr>
    </w:p>
    <w:p>
      <w:pPr>
        <w:pBdr>
          <w:bottom w:val="single" w:color="2980B9" w:sz="6"/>
        </w:pBdr>
        <w:spacing w:after="120" w:before="120"/>
      </w:pPr>
    </w:p>
    <w:p>
      <w:pPr>
        <w:spacing w:before="120"/>
        <w:jc w:val="right"/>
      </w:pPr>
      <w:r>
        <w:rPr>
          <w:i/>
          <w:iCs/>
          <w:color w:val="2C3E50"/>
          <w:sz w:val="18"/>
          <w:szCs w:val="18"/>
        </w:rPr>
        <w:t xml:space="preserve">报告生成：Trading Agents Copilot | 2026-03-23 | 仅供参考，不构成投资建议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2C3E50"/>
        <w:sz w:val="18"/>
        <w:szCs w:val="18"/>
      </w:rPr>
      <w:t xml:space="preserve">Page </w:t>
    </w:r>
    <w:r>
      <w:rPr>
        <w:color w:val="2C3E5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2C3E50"/>
        <w:sz w:val="18"/>
        <w:szCs w:val="18"/>
      </w:rPr>
      <w:t xml:space="preserve"> | Trading Agents Copilot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2C3E50"/>
        <w:sz w:val="18"/>
        <w:szCs w:val="18"/>
      </w:rPr>
      <w:t xml:space="preserve">隆基绿能 (601012.SS) — 投资分析报告 | 2026-03-23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2026-03-23T07:00:06.395Z</dcterms:created>
  <dcterms:modified xsi:type="dcterms:W3CDTF">2026-03-23T07:00:06.396Z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