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07EE" w:rsidRPr="000A07EE" w:rsidRDefault="000A07EE" w:rsidP="000A07EE">
      <w:pPr>
        <w:tabs>
          <w:tab w:val="left" w:pos="1440"/>
        </w:tabs>
        <w:suppressAutoHyphens/>
        <w:spacing w:after="0" w:line="264" w:lineRule="auto"/>
        <w:jc w:val="center"/>
        <w:rPr>
          <w:rFonts w:ascii="Times New Roman" w:hAnsi="Times New Roman" w:cs="Times New Roman"/>
          <w:b/>
          <w:color w:val="000000"/>
          <w:sz w:val="24"/>
          <w:szCs w:val="24"/>
        </w:rPr>
      </w:pPr>
      <w:r w:rsidRPr="000A07EE">
        <w:rPr>
          <w:rFonts w:ascii="Times New Roman" w:hAnsi="Times New Roman" w:cs="Times New Roman"/>
          <w:b/>
          <w:bCs/>
          <w:color w:val="000000"/>
          <w:sz w:val="24"/>
          <w:szCs w:val="24"/>
        </w:rPr>
        <w:t>Оцінювання комерційної привабливості об'єктів інтелектуальної власності на основі технологічного важеля</w:t>
      </w:r>
      <w:r w:rsidRPr="000A07EE">
        <w:rPr>
          <w:rStyle w:val="a6"/>
          <w:rFonts w:ascii="Times New Roman" w:hAnsi="Times New Roman" w:cs="Times New Roman"/>
          <w:b/>
          <w:bCs/>
          <w:color w:val="000000"/>
          <w:sz w:val="24"/>
          <w:szCs w:val="24"/>
        </w:rPr>
        <w:footnoteReference w:customMarkFollows="1" w:id="2"/>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bCs/>
          <w:iCs/>
          <w:color w:val="000000"/>
          <w:sz w:val="24"/>
          <w:szCs w:val="24"/>
        </w:rPr>
      </w:pP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Комерціалізація результатів інтелектуальної діяльності промислового підприємства – це тривалий і дорогий процес. Тому перш ніж вкладати у нього матеріальні, фінансові та інтелектуальні ресурси, необхідно оцінити реальність успішного перетворення створюваної інтелектуально-інноваційної технології (об'єкта інтелектуальної власності) на ринковий продукт. Багато дослідників української економіки стверджують, що вона володіє істотним науково-технічним та інтелектуальним потенціалом, ефективність використання якого надзвичайно низька. Проведений авторами аналіз дозволило виявити ряд причин такого становища. До основних з них слід віднести:</w:t>
      </w:r>
    </w:p>
    <w:p w:rsidR="000A07EE" w:rsidRPr="000A07EE" w:rsidRDefault="000A07EE" w:rsidP="000A07EE">
      <w:pPr>
        <w:numPr>
          <w:ilvl w:val="0"/>
          <w:numId w:val="1"/>
        </w:numPr>
        <w:tabs>
          <w:tab w:val="left" w:pos="900"/>
          <w:tab w:val="left" w:pos="1440"/>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недостатній досвід використання у виробничо-підприємницькій діяльності об'єктів інтелектуальної власності (ОІВ);</w:t>
      </w:r>
    </w:p>
    <w:p w:rsidR="000A07EE" w:rsidRPr="000A07EE" w:rsidRDefault="000A07EE" w:rsidP="000A07EE">
      <w:pPr>
        <w:numPr>
          <w:ilvl w:val="0"/>
          <w:numId w:val="1"/>
        </w:numPr>
        <w:tabs>
          <w:tab w:val="left" w:pos="900"/>
          <w:tab w:val="left" w:pos="1440"/>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відсутність ринкового попиту (потреби) на результати інтелектуальної праці;</w:t>
      </w:r>
    </w:p>
    <w:p w:rsidR="000A07EE" w:rsidRPr="000A07EE" w:rsidRDefault="000A07EE" w:rsidP="000A07EE">
      <w:pPr>
        <w:numPr>
          <w:ilvl w:val="0"/>
          <w:numId w:val="1"/>
        </w:numPr>
        <w:tabs>
          <w:tab w:val="left" w:pos="900"/>
          <w:tab w:val="left" w:pos="1440"/>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відсутність пропозиції необхідних ринку ОІВ;</w:t>
      </w:r>
    </w:p>
    <w:p w:rsidR="000A07EE" w:rsidRPr="000A07EE" w:rsidRDefault="000A07EE" w:rsidP="000A07EE">
      <w:pPr>
        <w:numPr>
          <w:ilvl w:val="0"/>
          <w:numId w:val="1"/>
        </w:numPr>
        <w:tabs>
          <w:tab w:val="left" w:pos="900"/>
          <w:tab w:val="left" w:pos="1440"/>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недостатня науковість науково-методичної бази обґрунтування перспектив комерційного використання ОІВ у виробничо-підприємницькій діяльності промислових підприємств.</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Звертаємо увагу на останню в переліку проблему, яка, на наш погляд, є найважливішою. Справді, невдача комерційної пропозиції ОІВ на ринку може залежати від ринкової потреби, якості пропозиції, можливостей сучасної інфраструктури для його використання і тощо. Однак, все це з'ясовується вже після рішення розробника (власника, користувача) виставити на продаж певний ОІВ. Для цього необхідно мати науково-методичну базу для попередньої оцінки ринкових можливостей ОІВ, його комерційних перспектив як для продавця, так і для покупця. Тому завдання розробки методичних положень оцінки рівня комерційного потенціалу об'єктів інтелектуальної власності є надзвичайно важливим і актуальним.</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Дослідження показали, що комерційні можливості ОІВ на ринку характеризує цілий ряд показників, без урахування яких неможливо ухвалити повною мірою обгрунтоване рішення. Найчастіше дослідники враховують такі характеристики інтелектуального продукту:</w:t>
      </w:r>
    </w:p>
    <w:p w:rsidR="000A07EE" w:rsidRPr="000A07EE" w:rsidRDefault="000A07EE" w:rsidP="000A07EE">
      <w:pPr>
        <w:numPr>
          <w:ilvl w:val="0"/>
          <w:numId w:val="1"/>
        </w:numPr>
        <w:tabs>
          <w:tab w:val="left" w:pos="900"/>
          <w:tab w:val="left" w:pos="1440"/>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ринкові характеристики ОІВ: показник цільового призначення; показник перспективності (розвитку) ринку в найближчій, середньо- і довгостроковій перспективі; показник позиціонування ОІВ на ринку, що відтворює наявність або відсутність чіткої позиції об'єкта на ринку і тощо.;</w:t>
      </w:r>
    </w:p>
    <w:p w:rsidR="000A07EE" w:rsidRPr="000A07EE" w:rsidRDefault="000A07EE" w:rsidP="000A07EE">
      <w:pPr>
        <w:numPr>
          <w:ilvl w:val="0"/>
          <w:numId w:val="1"/>
        </w:numPr>
        <w:tabs>
          <w:tab w:val="left" w:pos="900"/>
          <w:tab w:val="left" w:pos="1440"/>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вартісні характеристики ОІВ, які відображають реальні витрати розробника ОІВ, а також реальні витрати потенційного споживача ОІВ на його адаптацію і забезпечення ефективного використання в реальних умовах експлуатації;</w:t>
      </w:r>
    </w:p>
    <w:p w:rsidR="000A07EE" w:rsidRPr="000A07EE" w:rsidRDefault="000A07EE" w:rsidP="000A07EE">
      <w:pPr>
        <w:numPr>
          <w:ilvl w:val="0"/>
          <w:numId w:val="1"/>
        </w:numPr>
        <w:tabs>
          <w:tab w:val="left" w:pos="900"/>
          <w:tab w:val="left" w:pos="1440"/>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комерційні характеристики ОІВ, що відображають споживчу цінність інтелектуальної технології для потенційного використання;</w:t>
      </w:r>
    </w:p>
    <w:p w:rsidR="000A07EE" w:rsidRPr="000A07EE" w:rsidRDefault="000A07EE" w:rsidP="000A07EE">
      <w:pPr>
        <w:numPr>
          <w:ilvl w:val="0"/>
          <w:numId w:val="1"/>
        </w:numPr>
        <w:tabs>
          <w:tab w:val="left" w:pos="900"/>
          <w:tab w:val="left" w:pos="1440"/>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патентно-правові характеристики ОІВ, які характеризують патентну чистоту об'єкта, захищеність прав на нього, неможливість (істотну складність) копіювання і підробки.</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lastRenderedPageBreak/>
        <w:t>Проте поза увагою дослідників залишилися деякі, на наш погляд, надзвичайно важливі комерційні характеристики ОІВ, до яких ми пропонуємо віднести потенційну комерційну ефективність ОІВ для продавця (розробника, власника, ліцензіара) і для покупця (споживача, нового власника, ліцензіата). Розгляд цих питань і є метою нашого дослідження.</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Залучення результатів інтелектуальної діяльності до сфери комерційного обміну об'єктивно потребує визначення оцінки економічної ефективності такої угоди як для конкретного споживача, так і для розробника інтелектуального продукту. Особливістю ОІВ як товару є те, що включити їх у комерційний обіг можна тільки у формі передавання виключних прав на її використання.</w:t>
      </w:r>
    </w:p>
    <w:p w:rsidR="000A07EE" w:rsidRPr="000A07EE" w:rsidRDefault="000A07EE" w:rsidP="000A07EE">
      <w:pPr>
        <w:tabs>
          <w:tab w:val="left" w:pos="0"/>
          <w:tab w:val="left" w:pos="851"/>
          <w:tab w:val="left" w:pos="1134"/>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З погляду споживача (нового власника, покупця, ліцензіата) ОІВ можна розглядати з різних економічних позицій. Усе залежить від виду ОІВ, а також від форми використання їх у господарській практиці споживача. В одних випадках ОІВ є технологічною сировиною для розробки нових технічних засобів, матеріалів, нових видів продукції споживчого призначення (наприклад, новий оригінальний технологічний процес), в інших їх безпосередньо без додаткової розробки використовують у виробництві матеріальних благ (наприклад, промисловий зразок або корисна модель). Виходячи з цих позицій вартісна оцінка купівлі прав на ОІВ залежить від споживчих властивостей самих об'єктів правової охорони, обсягу переданих прав, складності, ресурсомісткості та інших показників порівняно з конкурентними пропозиціями на ринку. Ефективність ОІВ для розробника або споживача, як правило, визначається нормою прибутку, яку отримає покупець (продавець) від придбання прав на них.</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З погляду розробника (власника, продавця, ліцензіара) ОІВ можна виділити два способи його використання. Перший передбачає, що розробник використовує даний вид ОІВ безпосередньо у себе на виробництві, наприклад, при впровадженні з його допомогою продуктової інновації (нової продукції). Другий спосіб передбачає трансфер (комерціалізацію) ОІВ потенційному споживачеві (споживачам) шляхом укладення з ним (з ними) ліцензійних угод на передавання виключних чи невиключних прав на інтелектуальну власність.</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Оцінку ефективності ОІВ рекомендується здійснювати залежно від інтересів усіх його учасників: споживача, інвестора, підприємства-розробника, державних інтересів. Практика проведення подібних роду оцінок [1; 2; 3; 5; 10; 11; 12; 14] рекомендує розраховувати такі види економічної ефективності:</w:t>
      </w:r>
    </w:p>
    <w:p w:rsidR="000A07EE" w:rsidRPr="000A07EE" w:rsidRDefault="000A07EE" w:rsidP="000A07EE">
      <w:pPr>
        <w:numPr>
          <w:ilvl w:val="0"/>
          <w:numId w:val="1"/>
        </w:numPr>
        <w:tabs>
          <w:tab w:val="left" w:pos="851"/>
          <w:tab w:val="left" w:pos="1134"/>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комерційну (фінансову) ефективність, що враховує фінансові результати реалізації ОІВ для її безпосередніх учасників;</w:t>
      </w:r>
    </w:p>
    <w:p w:rsidR="000A07EE" w:rsidRPr="000A07EE" w:rsidRDefault="000A07EE" w:rsidP="000A07EE">
      <w:pPr>
        <w:numPr>
          <w:ilvl w:val="0"/>
          <w:numId w:val="1"/>
        </w:numPr>
        <w:tabs>
          <w:tab w:val="left" w:pos="851"/>
          <w:tab w:val="left" w:pos="1134"/>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бюджетну ефективність, що відображає фінансові наслідки реалізації ОІВ для національного та місцевого бюджетів;</w:t>
      </w:r>
    </w:p>
    <w:p w:rsidR="000A07EE" w:rsidRPr="000A07EE" w:rsidRDefault="000A07EE" w:rsidP="000A07EE">
      <w:pPr>
        <w:numPr>
          <w:ilvl w:val="0"/>
          <w:numId w:val="1"/>
        </w:numPr>
        <w:tabs>
          <w:tab w:val="left" w:pos="851"/>
          <w:tab w:val="left" w:pos="1134"/>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економічну ефективність, яка відображає вплив процесу реалізації ОІВ на зовнішнє для ОІВ середовище і враховує співвідношення результатів і витрат за інвестиційними витратами, які прямо не пов'язані з фінансовими інтересами учасників купівлі-продажу ОІВ і можуть бути кількісно оцінені.</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Методика розрахунку ефективності реалізації ОІВ включає такі основні складові:</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1. Оцінка основних (інвестиційних) витрат розробника за стадіями циклу створення ОІВ (наукові дослідження, патентний пошук, розробка, апробація, правова охорона, підготовка до комерціалізації, маркетинг, витрати на передавання, супровід і тощо).</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2. Оцінка поточних (обігових) витрат при створенні та продажу ОІВ (складання кошторисів, оцінка собівартості, розрахунок ціни, узгодження показників і тощо.).</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3. Розрахунок і аналіз показників комерційної та економічної ефективності ОІВ.</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lastRenderedPageBreak/>
        <w:t>4. Визначення показників бюджетної ефективності.</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Ми наводимо досить повний перелік всіх етапів. У конкретних випадках він може бути зменшений. Наприклад, розрахунок бюджетної ефективності більшість підприємств-розробників ОІВ не визначають, припускаючи, що цей показник формується унаслідок комерційної або економічної ефективності.</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Важливим завданням при розрахунку показників ефективності ОІВ є приведення різночасових витрат і майбутніх надходжень до порівняного вигляду, тобто до початкового періоду.</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Оцінка майбутніх витрат і результатів здійснюється у межах розрахункового періоду ефективного використання ОІВ, тривалість якого визначають з урахуванням середньозваженого нормативного морального терміну служби ОІВ або за узгодженням із потенційним споживачем.</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Для приведення різночасових показників використовують коефіцієнт дисконтування (</w:t>
      </w:r>
      <w:r w:rsidRPr="000A07EE">
        <w:rPr>
          <w:rFonts w:ascii="Times New Roman" w:hAnsi="Times New Roman" w:cs="Times New Roman"/>
          <w:iCs/>
          <w:color w:val="000000"/>
          <w:sz w:val="24"/>
          <w:szCs w:val="24"/>
        </w:rPr>
        <w:t>α</w:t>
      </w:r>
      <w:r w:rsidRPr="000A07EE">
        <w:rPr>
          <w:rFonts w:ascii="Times New Roman" w:hAnsi="Times New Roman" w:cs="Times New Roman"/>
          <w:iCs/>
          <w:color w:val="000000"/>
          <w:sz w:val="24"/>
          <w:szCs w:val="24"/>
          <w:vertAlign w:val="subscript"/>
        </w:rPr>
        <w:t>t</w:t>
      </w:r>
      <w:r w:rsidRPr="000A07EE">
        <w:rPr>
          <w:rFonts w:ascii="Times New Roman" w:hAnsi="Times New Roman" w:cs="Times New Roman"/>
          <w:color w:val="000000"/>
          <w:sz w:val="24"/>
          <w:szCs w:val="24"/>
        </w:rPr>
        <w:t>), який визначають з допомогою залежності:</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26" style="position:absolute;left:0;text-align:left;margin-left:321.95pt;margin-top:7.95pt;width:51.75pt;height:20.25pt;z-index:251660288" stroked="f">
            <v:textbox>
              <w:txbxContent>
                <w:p w:rsidR="000A07EE" w:rsidRPr="00B86215" w:rsidRDefault="000A07EE" w:rsidP="000A07EE">
                  <w:pPr>
                    <w:rPr>
                      <w:rFonts w:ascii="Times New Roman" w:hAnsi="Times New Roman"/>
                    </w:rPr>
                  </w:pPr>
                  <w:r>
                    <w:rPr>
                      <w:rFonts w:ascii="Times New Roman" w:hAnsi="Times New Roman"/>
                    </w:rPr>
                    <w:t>(1.86)</w:t>
                  </w:r>
                </w:p>
              </w:txbxContent>
            </v:textbox>
          </v:rect>
        </w:pict>
      </w:r>
      <w:r w:rsidRPr="000A07EE">
        <w:rPr>
          <w:rFonts w:ascii="Times New Roman" w:hAnsi="Times New Roman" w:cs="Times New Roman"/>
          <w:color w:val="000000"/>
          <w:sz w:val="24"/>
          <w:szCs w:val="24"/>
        </w:rPr>
        <w:object w:dxaOrig="2380"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15pt;height:27.3pt" o:ole="">
            <v:imagedata r:id="rId7" o:title=""/>
          </v:shape>
          <o:OLEObject Type="Embed" ProgID="Equation.3" ShapeID="_x0000_i1025" DrawAspect="Content" ObjectID="_1508998384" r:id="rId8"/>
        </w:object>
      </w:r>
      <w:r w:rsidRPr="000A07EE">
        <w:rPr>
          <w:rFonts w:ascii="Times New Roman" w:hAnsi="Times New Roman" w:cs="Times New Roman"/>
          <w:color w:val="000000"/>
          <w:sz w:val="24"/>
          <w:szCs w:val="24"/>
        </w:rPr>
        <w:t xml:space="preserve">                </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де </w:t>
      </w:r>
      <w:r w:rsidRPr="000A07EE">
        <w:rPr>
          <w:rFonts w:ascii="Times New Roman" w:hAnsi="Times New Roman" w:cs="Times New Roman"/>
          <w:i/>
          <w:iCs/>
          <w:color w:val="000000"/>
          <w:sz w:val="24"/>
          <w:szCs w:val="24"/>
        </w:rPr>
        <w:t>t</w:t>
      </w:r>
      <w:r w:rsidRPr="000A07EE">
        <w:rPr>
          <w:rFonts w:ascii="Times New Roman" w:hAnsi="Times New Roman" w:cs="Times New Roman"/>
          <w:iCs/>
          <w:color w:val="000000"/>
          <w:sz w:val="24"/>
          <w:szCs w:val="24"/>
        </w:rPr>
        <w:t xml:space="preserve"> </w:t>
      </w:r>
      <w:r w:rsidRPr="000A07EE">
        <w:rPr>
          <w:rFonts w:ascii="Times New Roman" w:hAnsi="Times New Roman" w:cs="Times New Roman"/>
          <w:color w:val="000000"/>
          <w:sz w:val="24"/>
          <w:szCs w:val="24"/>
        </w:rPr>
        <w:t>– рік, витрати якого приводяться до початкового періоду (</w:t>
      </w:r>
      <w:r w:rsidRPr="000A07EE">
        <w:rPr>
          <w:rFonts w:ascii="Times New Roman" w:hAnsi="Times New Roman" w:cs="Times New Roman"/>
          <w:i/>
          <w:iCs/>
          <w:color w:val="000000"/>
          <w:sz w:val="24"/>
          <w:szCs w:val="24"/>
        </w:rPr>
        <w:t>t</w:t>
      </w:r>
      <w:r w:rsidRPr="000A07EE">
        <w:rPr>
          <w:rFonts w:ascii="Times New Roman" w:hAnsi="Times New Roman" w:cs="Times New Roman"/>
          <w:iCs/>
          <w:color w:val="000000"/>
          <w:sz w:val="24"/>
          <w:szCs w:val="24"/>
        </w:rPr>
        <w:t xml:space="preserve"> </w:t>
      </w:r>
      <w:r w:rsidRPr="000A07EE">
        <w:rPr>
          <w:rFonts w:ascii="Times New Roman" w:hAnsi="Times New Roman" w:cs="Times New Roman"/>
          <w:color w:val="000000"/>
          <w:sz w:val="24"/>
          <w:szCs w:val="24"/>
        </w:rPr>
        <w:t xml:space="preserve">= 0, 1, 2, ..., </w:t>
      </w:r>
      <w:r w:rsidRPr="000A07EE">
        <w:rPr>
          <w:rFonts w:ascii="Times New Roman" w:hAnsi="Times New Roman" w:cs="Times New Roman"/>
          <w:i/>
          <w:iCs/>
          <w:color w:val="000000"/>
          <w:sz w:val="24"/>
          <w:szCs w:val="24"/>
        </w:rPr>
        <w:t>Т</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    </w:t>
      </w:r>
      <w:r w:rsidRPr="000A07EE">
        <w:rPr>
          <w:rFonts w:ascii="Times New Roman" w:hAnsi="Times New Roman" w:cs="Times New Roman"/>
          <w:i/>
          <w:iCs/>
          <w:color w:val="000000"/>
          <w:sz w:val="24"/>
          <w:szCs w:val="24"/>
        </w:rPr>
        <w:t>Е</w:t>
      </w:r>
      <w:r w:rsidRPr="000A07EE">
        <w:rPr>
          <w:rFonts w:ascii="Times New Roman" w:hAnsi="Times New Roman" w:cs="Times New Roman"/>
          <w:i/>
          <w:iCs/>
          <w:color w:val="000000"/>
          <w:sz w:val="24"/>
          <w:szCs w:val="24"/>
          <w:vertAlign w:val="subscript"/>
        </w:rPr>
        <w:t>н</w:t>
      </w:r>
      <w:r w:rsidRPr="000A07EE">
        <w:rPr>
          <w:rFonts w:ascii="Times New Roman" w:hAnsi="Times New Roman" w:cs="Times New Roman"/>
          <w:color w:val="000000"/>
          <w:sz w:val="24"/>
          <w:szCs w:val="24"/>
        </w:rPr>
        <w:t xml:space="preserve"> – норма дисконту, що дорівнює прийнятній нормі доходу на капітал.</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Завдання коефіцієнта </w:t>
      </w:r>
      <w:r w:rsidRPr="000A07EE">
        <w:rPr>
          <w:rFonts w:ascii="Times New Roman" w:hAnsi="Times New Roman" w:cs="Times New Roman"/>
          <w:i/>
          <w:iCs/>
          <w:color w:val="000000"/>
          <w:sz w:val="24"/>
          <w:szCs w:val="24"/>
        </w:rPr>
        <w:t>Е</w:t>
      </w:r>
      <w:r w:rsidRPr="000A07EE">
        <w:rPr>
          <w:rFonts w:ascii="Times New Roman" w:hAnsi="Times New Roman" w:cs="Times New Roman"/>
          <w:i/>
          <w:iCs/>
          <w:color w:val="000000"/>
          <w:sz w:val="24"/>
          <w:szCs w:val="24"/>
          <w:vertAlign w:val="subscript"/>
        </w:rPr>
        <w:t>н</w:t>
      </w:r>
      <w:r w:rsidRPr="000A07EE">
        <w:rPr>
          <w:rFonts w:ascii="Times New Roman" w:hAnsi="Times New Roman" w:cs="Times New Roman"/>
          <w:color w:val="000000"/>
          <w:sz w:val="24"/>
          <w:szCs w:val="24"/>
        </w:rPr>
        <w:t xml:space="preserve"> полягає у порівнянні коштів різних часових періодів [1; 5; 10; 11]. Його економічний сенс: який щорічний відсоток повернення хоче чи може мати інвестор на капітал, що його він інвестував. Встановлюючи його, зазвичай враховують рівень інфляції і безпечний або гарантований рівень рентабельності фінансових інвестицій, який забезпечує державний банк при операціях з цінними паперами. Важливим при визначенні ставки дисконтування є облік ризику. Ризик в інвестиційному процесі полягає у вигляді зменшення або втрати реальної віддачі від вкладеного капіталу порівняно з очікуваною.</w:t>
      </w:r>
    </w:p>
    <w:p w:rsidR="000A07EE" w:rsidRPr="000A07EE" w:rsidRDefault="000A07EE" w:rsidP="000A07EE">
      <w:pPr>
        <w:tabs>
          <w:tab w:val="left" w:pos="0"/>
          <w:tab w:val="left" w:pos="851"/>
          <w:tab w:val="left" w:pos="1134"/>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Порівняння варіантів оцінки ефективності ОІВ і вибір кращого рекомендується проводити з урахуванням різних показників, до яких належать [5; 10; 11; 14]: чистий дисконтований дохід (</w:t>
      </w:r>
      <w:r w:rsidRPr="000A07EE">
        <w:rPr>
          <w:rFonts w:ascii="Times New Roman" w:hAnsi="Times New Roman" w:cs="Times New Roman"/>
          <w:i/>
          <w:iCs/>
          <w:color w:val="000000"/>
          <w:sz w:val="24"/>
          <w:szCs w:val="24"/>
        </w:rPr>
        <w:t>ЧДД</w:t>
      </w:r>
      <w:r w:rsidRPr="000A07EE">
        <w:rPr>
          <w:rFonts w:ascii="Times New Roman" w:hAnsi="Times New Roman" w:cs="Times New Roman"/>
          <w:color w:val="000000"/>
          <w:sz w:val="24"/>
          <w:szCs w:val="24"/>
        </w:rPr>
        <w:t>) або інтегральний ефект; індекс прибутковості (</w:t>
      </w:r>
      <w:r w:rsidRPr="000A07EE">
        <w:rPr>
          <w:rFonts w:ascii="Times New Roman" w:hAnsi="Times New Roman" w:cs="Times New Roman"/>
          <w:i/>
          <w:iCs/>
          <w:color w:val="000000"/>
          <w:sz w:val="24"/>
          <w:szCs w:val="24"/>
        </w:rPr>
        <w:t>ІП</w:t>
      </w:r>
      <w:r w:rsidRPr="000A07EE">
        <w:rPr>
          <w:rFonts w:ascii="Times New Roman" w:hAnsi="Times New Roman" w:cs="Times New Roman"/>
          <w:color w:val="000000"/>
          <w:sz w:val="24"/>
          <w:szCs w:val="24"/>
        </w:rPr>
        <w:t>); внутрішня норма прибутковості (</w:t>
      </w:r>
      <w:r w:rsidRPr="000A07EE">
        <w:rPr>
          <w:rFonts w:ascii="Times New Roman" w:hAnsi="Times New Roman" w:cs="Times New Roman"/>
          <w:i/>
          <w:iCs/>
          <w:color w:val="000000"/>
          <w:sz w:val="24"/>
          <w:szCs w:val="24"/>
        </w:rPr>
        <w:t>ВНП</w:t>
      </w:r>
      <w:r w:rsidRPr="000A07EE">
        <w:rPr>
          <w:rFonts w:ascii="Times New Roman" w:hAnsi="Times New Roman" w:cs="Times New Roman"/>
          <w:color w:val="000000"/>
          <w:sz w:val="24"/>
          <w:szCs w:val="24"/>
        </w:rPr>
        <w:t>); термін окупності; інші показники, що відображають інтереси учасників процесу комерціалізації ОІВ і специфіку самого інтелектуального продукту.</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Чистий дисконтований дохід (</w:t>
      </w:r>
      <w:r w:rsidRPr="000A07EE">
        <w:rPr>
          <w:rFonts w:ascii="Times New Roman" w:hAnsi="Times New Roman" w:cs="Times New Roman"/>
          <w:i/>
          <w:iCs/>
          <w:color w:val="000000"/>
          <w:sz w:val="24"/>
          <w:szCs w:val="24"/>
        </w:rPr>
        <w:t>ЧДД</w:t>
      </w:r>
      <w:r w:rsidRPr="000A07EE">
        <w:rPr>
          <w:rFonts w:ascii="Times New Roman" w:hAnsi="Times New Roman" w:cs="Times New Roman"/>
          <w:color w:val="000000"/>
          <w:sz w:val="24"/>
          <w:szCs w:val="24"/>
        </w:rPr>
        <w:t xml:space="preserve"> або </w:t>
      </w:r>
      <w:r w:rsidRPr="000A07EE">
        <w:rPr>
          <w:rFonts w:ascii="Times New Roman" w:hAnsi="Times New Roman" w:cs="Times New Roman"/>
          <w:i/>
          <w:iCs/>
          <w:color w:val="000000"/>
          <w:sz w:val="24"/>
          <w:szCs w:val="24"/>
        </w:rPr>
        <w:t>NPV</w:t>
      </w:r>
      <w:r w:rsidRPr="000A07EE">
        <w:rPr>
          <w:rFonts w:ascii="Times New Roman" w:hAnsi="Times New Roman" w:cs="Times New Roman"/>
          <w:color w:val="000000"/>
          <w:sz w:val="24"/>
          <w:szCs w:val="24"/>
        </w:rPr>
        <w:t xml:space="preserve">) – інтегральний ефект </w:t>
      </w:r>
      <w:r w:rsidRPr="000A07EE">
        <w:rPr>
          <w:rFonts w:ascii="Times New Roman" w:hAnsi="Times New Roman" w:cs="Times New Roman"/>
          <w:i/>
          <w:iCs/>
          <w:color w:val="000000"/>
          <w:sz w:val="24"/>
          <w:szCs w:val="24"/>
        </w:rPr>
        <w:t>Е</w:t>
      </w:r>
      <w:r w:rsidRPr="000A07EE">
        <w:rPr>
          <w:rFonts w:ascii="Times New Roman" w:hAnsi="Times New Roman" w:cs="Times New Roman"/>
          <w:i/>
          <w:iCs/>
          <w:color w:val="000000"/>
          <w:sz w:val="24"/>
          <w:szCs w:val="24"/>
          <w:vertAlign w:val="subscript"/>
        </w:rPr>
        <w:t>інтегр</w:t>
      </w:r>
      <w:r w:rsidRPr="000A07EE">
        <w:rPr>
          <w:rFonts w:ascii="Times New Roman" w:hAnsi="Times New Roman" w:cs="Times New Roman"/>
          <w:color w:val="000000"/>
          <w:sz w:val="24"/>
          <w:szCs w:val="24"/>
        </w:rPr>
        <w:t xml:space="preserve"> визначається як сума поточних ефектів за весь розрахунковий період, приведена до початкового кроку, або як перевищення інтегральних результатів над інтегральними витратами. Якщо протягом розрахункового періоду не було інфляційної зміни або розрахунок проводиться у базових цінах, то величина </w:t>
      </w:r>
      <w:r w:rsidRPr="000A07EE">
        <w:rPr>
          <w:rFonts w:ascii="Times New Roman" w:hAnsi="Times New Roman" w:cs="Times New Roman"/>
          <w:i/>
          <w:iCs/>
          <w:color w:val="000000"/>
          <w:sz w:val="24"/>
          <w:szCs w:val="24"/>
        </w:rPr>
        <w:t>ЧДД</w:t>
      </w:r>
      <w:r w:rsidRPr="000A07EE">
        <w:rPr>
          <w:rFonts w:ascii="Times New Roman" w:hAnsi="Times New Roman" w:cs="Times New Roman"/>
          <w:color w:val="000000"/>
          <w:sz w:val="24"/>
          <w:szCs w:val="24"/>
        </w:rPr>
        <w:t xml:space="preserve"> для постійної норми дисконту обчислюється за формулою:</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27" style="position:absolute;left:0;text-align:left;margin-left:336.7pt;margin-top:6pt;width:43.5pt;height:19.55pt;z-index:251661312" stroked="f">
            <v:textbox>
              <w:txbxContent>
                <w:p w:rsidR="000A07EE" w:rsidRPr="00B86215" w:rsidRDefault="000A07EE" w:rsidP="000A07EE">
                  <w:pPr>
                    <w:rPr>
                      <w:rFonts w:ascii="Times New Roman" w:hAnsi="Times New Roman"/>
                    </w:rPr>
                  </w:pPr>
                  <w:r>
                    <w:rPr>
                      <w:rFonts w:ascii="Times New Roman" w:hAnsi="Times New Roman"/>
                    </w:rPr>
                    <w:t>(1.87)</w:t>
                  </w:r>
                </w:p>
              </w:txbxContent>
            </v:textbox>
          </v:rect>
        </w:pict>
      </w:r>
      <w:r w:rsidRPr="000A07EE">
        <w:rPr>
          <w:rFonts w:ascii="Times New Roman" w:hAnsi="Times New Roman" w:cs="Times New Roman"/>
          <w:color w:val="000000"/>
          <w:sz w:val="24"/>
          <w:szCs w:val="24"/>
        </w:rPr>
        <w:object w:dxaOrig="4800" w:dyaOrig="700">
          <v:shape id="_x0000_i1026" type="#_x0000_t75" style="width:241.65pt;height:30.6pt" o:ole="">
            <v:imagedata r:id="rId9" o:title=""/>
          </v:shape>
          <o:OLEObject Type="Embed" ProgID="Equation.3" ShapeID="_x0000_i1026" DrawAspect="Content" ObjectID="_1508998385" r:id="rId10"/>
        </w:objec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де </w:t>
      </w:r>
      <w:r w:rsidRPr="000A07EE">
        <w:rPr>
          <w:rFonts w:ascii="Times New Roman" w:hAnsi="Times New Roman" w:cs="Times New Roman"/>
          <w:i/>
          <w:iCs/>
          <w:color w:val="000000"/>
          <w:sz w:val="24"/>
          <w:szCs w:val="24"/>
        </w:rPr>
        <w:t>R</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color w:val="000000"/>
          <w:sz w:val="24"/>
          <w:szCs w:val="24"/>
        </w:rPr>
        <w:t xml:space="preserve"> – вартісна оцінка результатів (сума грошових надходжень), що досягаються на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 xml:space="preserve">-му кроці (у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-му періоді часу);</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       </w:t>
      </w:r>
      <w:r w:rsidRPr="000A07EE">
        <w:rPr>
          <w:rFonts w:ascii="Times New Roman" w:hAnsi="Times New Roman" w:cs="Times New Roman"/>
          <w:i/>
          <w:iCs/>
          <w:color w:val="000000"/>
          <w:sz w:val="24"/>
          <w:szCs w:val="24"/>
        </w:rPr>
        <w:t>3</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color w:val="000000"/>
          <w:sz w:val="24"/>
          <w:szCs w:val="24"/>
        </w:rPr>
        <w:t xml:space="preserve"> – вартісна оцінка витрат (вкладення коштів) у періоді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iCs/>
          <w:color w:val="000000"/>
          <w:sz w:val="24"/>
          <w:szCs w:val="24"/>
        </w:rPr>
        <w:t xml:space="preserve">      </w:t>
      </w:r>
      <w:r w:rsidRPr="000A07EE">
        <w:rPr>
          <w:rFonts w:ascii="Times New Roman" w:hAnsi="Times New Roman" w:cs="Times New Roman"/>
          <w:i/>
          <w:iCs/>
          <w:color w:val="000000"/>
          <w:sz w:val="24"/>
          <w:szCs w:val="24"/>
        </w:rPr>
        <w:t>Е</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color w:val="000000"/>
          <w:sz w:val="24"/>
          <w:szCs w:val="24"/>
        </w:rPr>
        <w:t xml:space="preserve"> = (</w:t>
      </w:r>
      <w:r w:rsidRPr="000A07EE">
        <w:rPr>
          <w:rFonts w:ascii="Times New Roman" w:hAnsi="Times New Roman" w:cs="Times New Roman"/>
          <w:i/>
          <w:iCs/>
          <w:color w:val="000000"/>
          <w:sz w:val="24"/>
          <w:szCs w:val="24"/>
        </w:rPr>
        <w:t>R</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i/>
          <w:iCs/>
          <w:color w:val="000000"/>
          <w:sz w:val="24"/>
          <w:szCs w:val="24"/>
        </w:rPr>
        <w:t xml:space="preserve"> – 3</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color w:val="000000"/>
          <w:sz w:val="24"/>
          <w:szCs w:val="24"/>
        </w:rPr>
        <w:t xml:space="preserve">) – ефект, що досягається на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 xml:space="preserve">-му кроці (у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-му періоді часу).</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На практиці часто користуються модифікованою формулою для визначення </w:t>
      </w:r>
      <w:r w:rsidRPr="000A07EE">
        <w:rPr>
          <w:rFonts w:ascii="Times New Roman" w:hAnsi="Times New Roman" w:cs="Times New Roman"/>
          <w:i/>
          <w:iCs/>
          <w:color w:val="000000"/>
          <w:sz w:val="24"/>
          <w:szCs w:val="24"/>
        </w:rPr>
        <w:t>ЧДД</w:t>
      </w:r>
      <w:r w:rsidRPr="000A07EE">
        <w:rPr>
          <w:rFonts w:ascii="Times New Roman" w:hAnsi="Times New Roman" w:cs="Times New Roman"/>
          <w:color w:val="000000"/>
          <w:sz w:val="24"/>
          <w:szCs w:val="24"/>
        </w:rPr>
        <w:t xml:space="preserve">. Для цього зі складу </w:t>
      </w:r>
      <w:r w:rsidRPr="000A07EE">
        <w:rPr>
          <w:rFonts w:ascii="Times New Roman" w:hAnsi="Times New Roman" w:cs="Times New Roman"/>
          <w:i/>
          <w:iCs/>
          <w:color w:val="000000"/>
          <w:sz w:val="24"/>
          <w:szCs w:val="24"/>
        </w:rPr>
        <w:t>З</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color w:val="000000"/>
          <w:sz w:val="24"/>
          <w:szCs w:val="24"/>
        </w:rPr>
        <w:t xml:space="preserve"> виключають капітальні вкладення і позначають через: </w:t>
      </w:r>
      <w:r w:rsidRPr="000A07EE">
        <w:rPr>
          <w:rFonts w:ascii="Times New Roman" w:hAnsi="Times New Roman" w:cs="Times New Roman"/>
          <w:i/>
          <w:iCs/>
          <w:color w:val="000000"/>
          <w:sz w:val="24"/>
          <w:szCs w:val="24"/>
        </w:rPr>
        <w:t>K</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color w:val="000000"/>
          <w:sz w:val="24"/>
          <w:szCs w:val="24"/>
        </w:rPr>
        <w:t xml:space="preserve"> – капіталовкладення на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 xml:space="preserve">-му кроці; </w:t>
      </w:r>
      <w:r w:rsidRPr="000A07EE">
        <w:rPr>
          <w:rFonts w:ascii="Times New Roman" w:hAnsi="Times New Roman" w:cs="Times New Roman"/>
          <w:i/>
          <w:iCs/>
          <w:color w:val="000000"/>
          <w:sz w:val="24"/>
          <w:szCs w:val="24"/>
        </w:rPr>
        <w:t>К</w:t>
      </w:r>
      <w:r w:rsidRPr="000A07EE">
        <w:rPr>
          <w:rFonts w:ascii="Times New Roman" w:hAnsi="Times New Roman" w:cs="Times New Roman"/>
          <w:i/>
          <w:iCs/>
          <w:color w:val="000000"/>
          <w:sz w:val="24"/>
          <w:szCs w:val="24"/>
          <w:vertAlign w:val="subscript"/>
        </w:rPr>
        <w:t>д</w:t>
      </w:r>
      <w:r w:rsidRPr="000A07EE">
        <w:rPr>
          <w:rFonts w:ascii="Times New Roman" w:hAnsi="Times New Roman" w:cs="Times New Roman"/>
          <w:color w:val="000000"/>
          <w:sz w:val="24"/>
          <w:szCs w:val="24"/>
        </w:rPr>
        <w:t xml:space="preserve"> – сума дисконтованих капіталовкладень, тобто</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lastRenderedPageBreak/>
        <w:pict>
          <v:rect id="_x0000_s1028" style="position:absolute;left:0;text-align:left;margin-left:329.95pt;margin-top:9.3pt;width:45.75pt;height:21pt;z-index:251662336" stroked="f">
            <v:textbox>
              <w:txbxContent>
                <w:p w:rsidR="000A07EE" w:rsidRPr="00B86215" w:rsidRDefault="000A07EE" w:rsidP="000A07EE">
                  <w:pPr>
                    <w:rPr>
                      <w:rFonts w:ascii="Times New Roman" w:hAnsi="Times New Roman"/>
                    </w:rPr>
                  </w:pPr>
                  <w:r>
                    <w:rPr>
                      <w:rFonts w:ascii="Times New Roman" w:hAnsi="Times New Roman"/>
                    </w:rPr>
                    <w:t>(1.88)</w:t>
                  </w:r>
                </w:p>
              </w:txbxContent>
            </v:textbox>
          </v:rect>
        </w:pict>
      </w:r>
      <w:r w:rsidRPr="000A07EE">
        <w:rPr>
          <w:rFonts w:ascii="Times New Roman" w:hAnsi="Times New Roman" w:cs="Times New Roman"/>
          <w:color w:val="000000"/>
          <w:sz w:val="24"/>
          <w:szCs w:val="24"/>
        </w:rPr>
        <w:object w:dxaOrig="2900" w:dyaOrig="700">
          <v:shape id="_x0000_i1027" type="#_x0000_t75" style="width:164.7pt;height:33.95pt" o:ole="">
            <v:imagedata r:id="rId11" o:title=""/>
          </v:shape>
          <o:OLEObject Type="Embed" ProgID="Equation.3" ShapeID="_x0000_i1027" DrawAspect="Content" ObjectID="_1508998386" r:id="rId12"/>
        </w:objec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а через </w:t>
      </w:r>
      <w:r w:rsidRPr="000A07EE">
        <w:rPr>
          <w:rFonts w:ascii="Times New Roman" w:hAnsi="Times New Roman" w:cs="Times New Roman"/>
          <w:i/>
          <w:iCs/>
          <w:color w:val="000000"/>
          <w:sz w:val="24"/>
          <w:szCs w:val="24"/>
        </w:rPr>
        <w:t>К</w:t>
      </w:r>
      <w:r w:rsidRPr="000A07EE">
        <w:rPr>
          <w:rFonts w:ascii="Times New Roman" w:hAnsi="Times New Roman" w:cs="Times New Roman"/>
          <w:i/>
          <w:iCs/>
          <w:color w:val="000000"/>
          <w:sz w:val="24"/>
          <w:szCs w:val="24"/>
          <w:vertAlign w:val="superscript"/>
        </w:rPr>
        <w:t>*</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color w:val="000000"/>
          <w:sz w:val="24"/>
          <w:szCs w:val="24"/>
        </w:rPr>
        <w:t xml:space="preserve"> – витрати на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-му кроці за умови, що до них не входять капіталовкладення (при цьому збиток позначають зі знаком «плюс», а дохід – зі знаком «мінус»).</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Тоді формула для </w:t>
      </w:r>
      <w:r w:rsidRPr="000A07EE">
        <w:rPr>
          <w:rFonts w:ascii="Times New Roman" w:hAnsi="Times New Roman" w:cs="Times New Roman"/>
          <w:i/>
          <w:iCs/>
          <w:color w:val="000000"/>
          <w:sz w:val="24"/>
          <w:szCs w:val="24"/>
        </w:rPr>
        <w:t>ЧДД</w:t>
      </w:r>
      <w:r w:rsidRPr="000A07EE">
        <w:rPr>
          <w:rFonts w:ascii="Times New Roman" w:hAnsi="Times New Roman" w:cs="Times New Roman"/>
          <w:color w:val="000000"/>
          <w:sz w:val="24"/>
          <w:szCs w:val="24"/>
        </w:rPr>
        <w:t xml:space="preserve"> записується у такому вигляді:</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29" style="position:absolute;left:0;text-align:left;margin-left:336.7pt;margin-top:9.35pt;width:43.5pt;height:21.75pt;z-index:251663360" stroked="f">
            <v:textbox>
              <w:txbxContent>
                <w:p w:rsidR="000A07EE" w:rsidRPr="009D3588" w:rsidRDefault="000A07EE" w:rsidP="000A07EE">
                  <w:pPr>
                    <w:rPr>
                      <w:rFonts w:ascii="Times New Roman" w:hAnsi="Times New Roman"/>
                    </w:rPr>
                  </w:pPr>
                  <w:r>
                    <w:rPr>
                      <w:rFonts w:ascii="Times New Roman" w:hAnsi="Times New Roman"/>
                    </w:rPr>
                    <w:t>(1.89)</w:t>
                  </w:r>
                </w:p>
              </w:txbxContent>
            </v:textbox>
          </v:rect>
        </w:pict>
      </w:r>
      <w:r w:rsidRPr="000A07EE">
        <w:rPr>
          <w:rFonts w:ascii="Times New Roman" w:hAnsi="Times New Roman" w:cs="Times New Roman"/>
          <w:color w:val="000000"/>
          <w:sz w:val="24"/>
          <w:szCs w:val="24"/>
        </w:rPr>
        <w:object w:dxaOrig="5600" w:dyaOrig="700">
          <v:shape id="_x0000_i1028" type="#_x0000_t75" style="width:242.5pt;height:30.6pt" o:ole="">
            <v:imagedata r:id="rId13" o:title=""/>
          </v:shape>
          <o:OLEObject Type="Embed" ProgID="Equation.3" ShapeID="_x0000_i1028" DrawAspect="Content" ObjectID="_1508998387" r:id="rId14"/>
        </w:objec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і виражає різницю між сумою наведених ефектів і приведеної до того ж моменту часу величиною капітальних вкладень (</w:t>
      </w:r>
      <w:r w:rsidRPr="000A07EE">
        <w:rPr>
          <w:rFonts w:ascii="Times New Roman" w:hAnsi="Times New Roman" w:cs="Times New Roman"/>
          <w:i/>
          <w:iCs/>
          <w:color w:val="000000"/>
          <w:sz w:val="24"/>
          <w:szCs w:val="24"/>
        </w:rPr>
        <w:t>К</w:t>
      </w:r>
      <w:r w:rsidRPr="000A07EE">
        <w:rPr>
          <w:rFonts w:ascii="Times New Roman" w:hAnsi="Times New Roman" w:cs="Times New Roman"/>
          <w:i/>
          <w:iCs/>
          <w:color w:val="000000"/>
          <w:sz w:val="24"/>
          <w:szCs w:val="24"/>
          <w:vertAlign w:val="subscript"/>
        </w:rPr>
        <w:t>д</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При порівнянні варіантів комерціалізації ОІВ ефективнішим є той, який матиме максимальний чистий дисконтований дохід. Якщо </w:t>
      </w:r>
      <w:r w:rsidRPr="000A07EE">
        <w:rPr>
          <w:rFonts w:ascii="Times New Roman" w:hAnsi="Times New Roman" w:cs="Times New Roman"/>
          <w:i/>
          <w:iCs/>
          <w:color w:val="000000"/>
          <w:sz w:val="24"/>
          <w:szCs w:val="24"/>
        </w:rPr>
        <w:t>ЧДД</w:t>
      </w:r>
      <w:r w:rsidRPr="000A07EE">
        <w:rPr>
          <w:rFonts w:ascii="Times New Roman" w:hAnsi="Times New Roman" w:cs="Times New Roman"/>
          <w:color w:val="000000"/>
          <w:sz w:val="24"/>
          <w:szCs w:val="24"/>
        </w:rPr>
        <w:t xml:space="preserve"> &lt; 0, то варіант комерціалізації ОІВ неефективний, і від нього слід відмовитися.</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Індекс прибутковості (Pref liability Index) (</w:t>
      </w:r>
      <w:r w:rsidRPr="000A07EE">
        <w:rPr>
          <w:rFonts w:ascii="Times New Roman" w:hAnsi="Times New Roman" w:cs="Times New Roman"/>
          <w:i/>
          <w:iCs/>
          <w:color w:val="000000"/>
          <w:sz w:val="24"/>
          <w:szCs w:val="24"/>
        </w:rPr>
        <w:t>ІП</w:t>
      </w:r>
      <w:r w:rsidRPr="000A07EE">
        <w:rPr>
          <w:rFonts w:ascii="Times New Roman" w:hAnsi="Times New Roman" w:cs="Times New Roman"/>
          <w:color w:val="000000"/>
          <w:sz w:val="24"/>
          <w:szCs w:val="24"/>
        </w:rPr>
        <w:t xml:space="preserve"> або </w:t>
      </w:r>
      <w:r w:rsidRPr="000A07EE">
        <w:rPr>
          <w:rFonts w:ascii="Times New Roman" w:hAnsi="Times New Roman" w:cs="Times New Roman"/>
          <w:i/>
          <w:iCs/>
          <w:color w:val="000000"/>
          <w:sz w:val="24"/>
          <w:szCs w:val="24"/>
        </w:rPr>
        <w:t>PI</w:t>
      </w:r>
      <w:r w:rsidRPr="000A07EE">
        <w:rPr>
          <w:rFonts w:ascii="Times New Roman" w:hAnsi="Times New Roman" w:cs="Times New Roman"/>
          <w:color w:val="000000"/>
          <w:sz w:val="24"/>
          <w:szCs w:val="24"/>
        </w:rPr>
        <w:t>) – це відношення суми наведених ефектів до величини здійснених витрат. Він визначається за формулою:</w:t>
      </w:r>
    </w:p>
    <w:p w:rsidR="000A07EE" w:rsidRPr="000A07EE" w:rsidRDefault="000A07EE" w:rsidP="000A07EE">
      <w:pPr>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30" style="position:absolute;left:0;text-align:left;margin-left:321.2pt;margin-top:11.8pt;width:53.25pt;height:20.75pt;z-index:251664384" stroked="f">
            <v:textbox>
              <w:txbxContent>
                <w:p w:rsidR="000A07EE" w:rsidRPr="009D3588" w:rsidRDefault="000A07EE" w:rsidP="000A07EE">
                  <w:pPr>
                    <w:rPr>
                      <w:rFonts w:ascii="Times New Roman" w:hAnsi="Times New Roman"/>
                    </w:rPr>
                  </w:pPr>
                  <w:r>
                    <w:rPr>
                      <w:rFonts w:ascii="Times New Roman" w:hAnsi="Times New Roman"/>
                    </w:rPr>
                    <w:t>(1.90)</w:t>
                  </w:r>
                </w:p>
              </w:txbxContent>
            </v:textbox>
          </v:rect>
        </w:pict>
      </w:r>
      <w:r w:rsidRPr="000A07EE">
        <w:rPr>
          <w:rFonts w:ascii="Times New Roman" w:hAnsi="Times New Roman" w:cs="Times New Roman"/>
          <w:color w:val="000000"/>
          <w:sz w:val="24"/>
          <w:szCs w:val="24"/>
        </w:rPr>
        <w:object w:dxaOrig="4160" w:dyaOrig="700">
          <v:shape id="_x0000_i1029" type="#_x0000_t75" style="width:208.55pt;height:33.1pt" o:ole="">
            <v:imagedata r:id="rId15" o:title=""/>
          </v:shape>
          <o:OLEObject Type="Embed" ProgID="Equation.3" ShapeID="_x0000_i1029" DrawAspect="Content" ObjectID="_1508998388" r:id="rId16"/>
        </w:objec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де  </w:t>
      </w:r>
      <w:r w:rsidRPr="000A07EE">
        <w:rPr>
          <w:rFonts w:ascii="Times New Roman" w:hAnsi="Times New Roman" w:cs="Times New Roman"/>
          <w:i/>
          <w:iCs/>
          <w:color w:val="000000"/>
          <w:sz w:val="24"/>
          <w:szCs w:val="24"/>
        </w:rPr>
        <w:t>3</w:t>
      </w:r>
      <w:r w:rsidRPr="000A07EE">
        <w:rPr>
          <w:rFonts w:ascii="Times New Roman" w:hAnsi="Times New Roman" w:cs="Times New Roman"/>
          <w:i/>
          <w:iCs/>
          <w:color w:val="000000"/>
          <w:sz w:val="24"/>
          <w:szCs w:val="24"/>
          <w:vertAlign w:val="subscript"/>
        </w:rPr>
        <w:t>t</w:t>
      </w:r>
      <w:r w:rsidRPr="000A07EE">
        <w:rPr>
          <w:rFonts w:ascii="Times New Roman" w:hAnsi="Times New Roman" w:cs="Times New Roman"/>
          <w:i/>
          <w:iCs/>
          <w:color w:val="000000"/>
          <w:sz w:val="24"/>
          <w:szCs w:val="24"/>
          <w:vertAlign w:val="superscript"/>
        </w:rPr>
        <w:t>m</w:t>
      </w:r>
      <w:r w:rsidRPr="000A07EE">
        <w:rPr>
          <w:rFonts w:ascii="Times New Roman" w:hAnsi="Times New Roman" w:cs="Times New Roman"/>
          <w:color w:val="000000"/>
          <w:sz w:val="24"/>
          <w:szCs w:val="24"/>
        </w:rPr>
        <w:t xml:space="preserve"> – вартісна оцінка поточних витрат на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 xml:space="preserve">-му кроці (у </w:t>
      </w:r>
      <w:r w:rsidRPr="000A07EE">
        <w:rPr>
          <w:rFonts w:ascii="Times New Roman" w:hAnsi="Times New Roman" w:cs="Times New Roman"/>
          <w:i/>
          <w:iCs/>
          <w:color w:val="000000"/>
          <w:sz w:val="24"/>
          <w:szCs w:val="24"/>
        </w:rPr>
        <w:t>t</w:t>
      </w:r>
      <w:r w:rsidRPr="000A07EE">
        <w:rPr>
          <w:rFonts w:ascii="Times New Roman" w:hAnsi="Times New Roman" w:cs="Times New Roman"/>
          <w:color w:val="000000"/>
          <w:sz w:val="24"/>
          <w:szCs w:val="24"/>
        </w:rPr>
        <w:t xml:space="preserve">-му періоді часу); </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      </w:t>
      </w:r>
      <w:r w:rsidRPr="000A07EE">
        <w:rPr>
          <w:rFonts w:ascii="Times New Roman" w:hAnsi="Times New Roman" w:cs="Times New Roman"/>
          <w:i/>
          <w:iCs/>
          <w:color w:val="000000"/>
          <w:sz w:val="24"/>
          <w:szCs w:val="24"/>
        </w:rPr>
        <w:t>К</w:t>
      </w:r>
      <w:r w:rsidRPr="000A07EE">
        <w:rPr>
          <w:rFonts w:ascii="Times New Roman" w:hAnsi="Times New Roman" w:cs="Times New Roman"/>
          <w:i/>
          <w:iCs/>
          <w:color w:val="000000"/>
          <w:sz w:val="24"/>
          <w:szCs w:val="24"/>
          <w:vertAlign w:val="subscript"/>
        </w:rPr>
        <w:t>д</w:t>
      </w:r>
      <w:r w:rsidRPr="000A07EE">
        <w:rPr>
          <w:rFonts w:ascii="Times New Roman" w:hAnsi="Times New Roman" w:cs="Times New Roman"/>
          <w:color w:val="000000"/>
          <w:sz w:val="24"/>
          <w:szCs w:val="24"/>
        </w:rPr>
        <w:t xml:space="preserve"> – сума дисконтованих капітальних вкладень (інвестицій).</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Індекс прибутковості характеризує середньорічну рентабельність інвестованого капіталу протягом розрахункового періоду. Він тісно пов'язаний з </w:t>
      </w:r>
      <w:r w:rsidRPr="000A07EE">
        <w:rPr>
          <w:rFonts w:ascii="Times New Roman" w:hAnsi="Times New Roman" w:cs="Times New Roman"/>
          <w:i/>
          <w:iCs/>
          <w:color w:val="000000"/>
          <w:sz w:val="24"/>
          <w:szCs w:val="24"/>
        </w:rPr>
        <w:t>ЧДД</w:t>
      </w:r>
      <w:r w:rsidRPr="000A07EE">
        <w:rPr>
          <w:rFonts w:ascii="Times New Roman" w:hAnsi="Times New Roman" w:cs="Times New Roman"/>
          <w:iCs/>
          <w:color w:val="000000"/>
          <w:sz w:val="24"/>
          <w:szCs w:val="24"/>
        </w:rPr>
        <w:t>,</w:t>
      </w:r>
      <w:r w:rsidRPr="000A07EE">
        <w:rPr>
          <w:rFonts w:ascii="Times New Roman" w:hAnsi="Times New Roman" w:cs="Times New Roman"/>
          <w:color w:val="000000"/>
          <w:sz w:val="24"/>
          <w:szCs w:val="24"/>
        </w:rPr>
        <w:t xml:space="preserve"> будується з тих же елементів, і його значення пов'язане із значенням </w:t>
      </w:r>
      <w:r w:rsidRPr="000A07EE">
        <w:rPr>
          <w:rFonts w:ascii="Times New Roman" w:hAnsi="Times New Roman" w:cs="Times New Roman"/>
          <w:i/>
          <w:iCs/>
          <w:color w:val="000000"/>
          <w:sz w:val="24"/>
          <w:szCs w:val="24"/>
        </w:rPr>
        <w:t>ЧДД</w:t>
      </w:r>
      <w:r w:rsidRPr="000A07EE">
        <w:rPr>
          <w:rFonts w:ascii="Times New Roman" w:hAnsi="Times New Roman" w:cs="Times New Roman"/>
          <w:color w:val="000000"/>
          <w:sz w:val="24"/>
          <w:szCs w:val="24"/>
        </w:rPr>
        <w:t xml:space="preserve">: якщо </w:t>
      </w:r>
      <w:r w:rsidRPr="000A07EE">
        <w:rPr>
          <w:rFonts w:ascii="Times New Roman" w:hAnsi="Times New Roman" w:cs="Times New Roman"/>
          <w:i/>
          <w:iCs/>
          <w:color w:val="000000"/>
          <w:sz w:val="24"/>
          <w:szCs w:val="24"/>
        </w:rPr>
        <w:t>ЧДД</w:t>
      </w:r>
      <w:r w:rsidRPr="000A07EE">
        <w:rPr>
          <w:rFonts w:ascii="Times New Roman" w:hAnsi="Times New Roman" w:cs="Times New Roman"/>
          <w:color w:val="000000"/>
          <w:sz w:val="24"/>
          <w:szCs w:val="24"/>
        </w:rPr>
        <w:t xml:space="preserve"> позитивний, то </w:t>
      </w:r>
      <w:r w:rsidRPr="000A07EE">
        <w:rPr>
          <w:rFonts w:ascii="Times New Roman" w:hAnsi="Times New Roman" w:cs="Times New Roman"/>
          <w:i/>
          <w:iCs/>
          <w:color w:val="000000"/>
          <w:sz w:val="24"/>
          <w:szCs w:val="24"/>
        </w:rPr>
        <w:t>ІД</w:t>
      </w:r>
      <w:r w:rsidRPr="000A07EE">
        <w:rPr>
          <w:rFonts w:ascii="Times New Roman" w:hAnsi="Times New Roman" w:cs="Times New Roman"/>
          <w:iCs/>
          <w:color w:val="000000"/>
          <w:sz w:val="24"/>
          <w:szCs w:val="24"/>
        </w:rPr>
        <w:t xml:space="preserve"> </w:t>
      </w:r>
      <w:r w:rsidRPr="000A07EE">
        <w:rPr>
          <w:rFonts w:ascii="Times New Roman" w:hAnsi="Times New Roman" w:cs="Times New Roman"/>
          <w:color w:val="000000"/>
          <w:sz w:val="24"/>
          <w:szCs w:val="24"/>
        </w:rPr>
        <w:t xml:space="preserve">&gt; 1 і навпаки. Якщо </w:t>
      </w:r>
      <w:r w:rsidRPr="000A07EE">
        <w:rPr>
          <w:rFonts w:ascii="Times New Roman" w:hAnsi="Times New Roman" w:cs="Times New Roman"/>
          <w:i/>
          <w:iCs/>
          <w:color w:val="000000"/>
          <w:sz w:val="24"/>
          <w:szCs w:val="24"/>
        </w:rPr>
        <w:t>ІД</w:t>
      </w:r>
      <w:r w:rsidRPr="000A07EE">
        <w:rPr>
          <w:rFonts w:ascii="Times New Roman" w:hAnsi="Times New Roman" w:cs="Times New Roman"/>
          <w:color w:val="000000"/>
          <w:sz w:val="24"/>
          <w:szCs w:val="24"/>
        </w:rPr>
        <w:t xml:space="preserve"> &gt; 1, проект ефективний, якщо </w:t>
      </w:r>
      <w:r w:rsidRPr="000A07EE">
        <w:rPr>
          <w:rFonts w:ascii="Times New Roman" w:hAnsi="Times New Roman" w:cs="Times New Roman"/>
          <w:i/>
          <w:iCs/>
          <w:color w:val="000000"/>
          <w:sz w:val="24"/>
          <w:szCs w:val="24"/>
        </w:rPr>
        <w:t>ІД</w:t>
      </w:r>
      <w:r w:rsidRPr="000A07EE">
        <w:rPr>
          <w:rFonts w:ascii="Times New Roman" w:hAnsi="Times New Roman" w:cs="Times New Roman"/>
          <w:color w:val="000000"/>
          <w:sz w:val="24"/>
          <w:szCs w:val="24"/>
        </w:rPr>
        <w:t xml:space="preserve"> &lt;1 – неефективний. При </w:t>
      </w:r>
      <w:r w:rsidRPr="000A07EE">
        <w:rPr>
          <w:rFonts w:ascii="Times New Roman" w:hAnsi="Times New Roman" w:cs="Times New Roman"/>
          <w:i/>
          <w:iCs/>
          <w:color w:val="000000"/>
          <w:sz w:val="24"/>
          <w:szCs w:val="24"/>
        </w:rPr>
        <w:t>ІД</w:t>
      </w:r>
      <w:r w:rsidRPr="000A07EE">
        <w:rPr>
          <w:rFonts w:ascii="Times New Roman" w:hAnsi="Times New Roman" w:cs="Times New Roman"/>
          <w:color w:val="000000"/>
          <w:sz w:val="24"/>
          <w:szCs w:val="24"/>
        </w:rPr>
        <w:t xml:space="preserve"> = 1 проект є ні прибутковим, ні збитковим. Критерієм вибору найефективнішого варіанта є максимальне значення індексу прибутковості.</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На відміну від чистого дисконтованого доходу індекс прибутковості є відносним показником. Завдяки цьому він дуже зручний при виборі одного проекту комерціалізації ОІВ з кількох, що мають приблизно однакові значення </w:t>
      </w:r>
      <w:r w:rsidRPr="000A07EE">
        <w:rPr>
          <w:rFonts w:ascii="Times New Roman" w:hAnsi="Times New Roman" w:cs="Times New Roman"/>
          <w:i/>
          <w:color w:val="000000"/>
          <w:sz w:val="24"/>
          <w:szCs w:val="24"/>
        </w:rPr>
        <w:t>Ч</w:t>
      </w:r>
      <w:r w:rsidRPr="000A07EE">
        <w:rPr>
          <w:rFonts w:ascii="Times New Roman" w:hAnsi="Times New Roman" w:cs="Times New Roman"/>
          <w:i/>
          <w:iCs/>
          <w:color w:val="000000"/>
          <w:sz w:val="24"/>
          <w:szCs w:val="24"/>
        </w:rPr>
        <w:t>ДД</w:t>
      </w:r>
      <w:r w:rsidRPr="000A07EE">
        <w:rPr>
          <w:rFonts w:ascii="Times New Roman" w:hAnsi="Times New Roman" w:cs="Times New Roman"/>
          <w:color w:val="000000"/>
          <w:sz w:val="24"/>
          <w:szCs w:val="24"/>
        </w:rPr>
        <w:t xml:space="preserve">, або при комплектуванні портфеля інвестицій з максимальним сумарним значенням </w:t>
      </w:r>
      <w:r w:rsidRPr="000A07EE">
        <w:rPr>
          <w:rFonts w:ascii="Times New Roman" w:hAnsi="Times New Roman" w:cs="Times New Roman"/>
          <w:iCs/>
          <w:color w:val="000000"/>
          <w:sz w:val="24"/>
          <w:szCs w:val="24"/>
        </w:rPr>
        <w:t>ЧДД</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Внутрішня норма прибутковості інвестицій (Internal Rate of Return) (</w:t>
      </w:r>
      <w:r w:rsidRPr="000A07EE">
        <w:rPr>
          <w:rFonts w:ascii="Times New Roman" w:hAnsi="Times New Roman" w:cs="Times New Roman"/>
          <w:i/>
          <w:iCs/>
          <w:color w:val="000000"/>
          <w:sz w:val="24"/>
          <w:szCs w:val="24"/>
        </w:rPr>
        <w:t>ВНП</w:t>
      </w:r>
      <w:r w:rsidRPr="000A07EE">
        <w:rPr>
          <w:rFonts w:ascii="Times New Roman" w:hAnsi="Times New Roman" w:cs="Times New Roman"/>
          <w:color w:val="000000"/>
          <w:sz w:val="24"/>
          <w:szCs w:val="24"/>
        </w:rPr>
        <w:t xml:space="preserve"> або </w:t>
      </w:r>
      <w:r w:rsidRPr="000A07EE">
        <w:rPr>
          <w:rFonts w:ascii="Times New Roman" w:hAnsi="Times New Roman" w:cs="Times New Roman"/>
          <w:i/>
          <w:iCs/>
          <w:color w:val="000000"/>
          <w:sz w:val="24"/>
          <w:szCs w:val="24"/>
        </w:rPr>
        <w:t>IRR</w:t>
      </w:r>
      <w:r w:rsidRPr="000A07EE">
        <w:rPr>
          <w:rFonts w:ascii="Times New Roman" w:hAnsi="Times New Roman" w:cs="Times New Roman"/>
          <w:color w:val="000000"/>
          <w:sz w:val="24"/>
          <w:szCs w:val="24"/>
        </w:rPr>
        <w:t>) – це норма дисконту (</w:t>
      </w:r>
      <w:r w:rsidRPr="000A07EE">
        <w:rPr>
          <w:rFonts w:ascii="Times New Roman" w:hAnsi="Times New Roman" w:cs="Times New Roman"/>
          <w:i/>
          <w:iCs/>
          <w:color w:val="000000"/>
          <w:sz w:val="24"/>
          <w:szCs w:val="24"/>
        </w:rPr>
        <w:t>Е</w:t>
      </w:r>
      <w:r w:rsidRPr="000A07EE">
        <w:rPr>
          <w:rFonts w:ascii="Times New Roman" w:hAnsi="Times New Roman" w:cs="Times New Roman"/>
          <w:i/>
          <w:iCs/>
          <w:color w:val="000000"/>
          <w:sz w:val="24"/>
          <w:szCs w:val="24"/>
          <w:vertAlign w:val="subscript"/>
        </w:rPr>
        <w:t>вн</w:t>
      </w:r>
      <w:r w:rsidRPr="000A07EE">
        <w:rPr>
          <w:rFonts w:ascii="Times New Roman" w:hAnsi="Times New Roman" w:cs="Times New Roman"/>
          <w:color w:val="000000"/>
          <w:sz w:val="24"/>
          <w:szCs w:val="24"/>
        </w:rPr>
        <w:t>), при якій величина зведених ефектів дорівнює зведеним капіталовкладенням або чистий дисконтований дохід дорівнює нулю:</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31" style="position:absolute;left:0;text-align:left;margin-left:336.95pt;margin-top:6.7pt;width:44.25pt;height:27.75pt;z-index:251665408" stroked="f">
            <v:textbox>
              <w:txbxContent>
                <w:p w:rsidR="000A07EE" w:rsidRPr="009D3588" w:rsidRDefault="000A07EE" w:rsidP="000A07EE">
                  <w:pPr>
                    <w:rPr>
                      <w:rFonts w:ascii="Times New Roman" w:hAnsi="Times New Roman"/>
                    </w:rPr>
                  </w:pPr>
                  <w:r>
                    <w:rPr>
                      <w:rFonts w:ascii="Times New Roman" w:hAnsi="Times New Roman"/>
                    </w:rPr>
                    <w:t>(1.91)</w:t>
                  </w:r>
                </w:p>
              </w:txbxContent>
            </v:textbox>
          </v:rect>
        </w:pict>
      </w:r>
      <w:r w:rsidRPr="000A07EE">
        <w:rPr>
          <w:rFonts w:ascii="Times New Roman" w:hAnsi="Times New Roman" w:cs="Times New Roman"/>
          <w:color w:val="000000"/>
          <w:sz w:val="24"/>
          <w:szCs w:val="24"/>
        </w:rPr>
        <w:object w:dxaOrig="3159" w:dyaOrig="720">
          <v:shape id="_x0000_i1030" type="#_x0000_t75" style="width:210.2pt;height:35.6pt" o:ole="">
            <v:imagedata r:id="rId17" o:title=""/>
          </v:shape>
          <o:OLEObject Type="Embed" ProgID="Equation.3" ShapeID="_x0000_i1030" DrawAspect="Content" ObjectID="_1508998389" r:id="rId18"/>
        </w:objec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Розв’язання рівняння (1.91) дозволяє визначити норму дисконту </w:t>
      </w:r>
      <w:r w:rsidRPr="000A07EE">
        <w:rPr>
          <w:rFonts w:ascii="Times New Roman" w:hAnsi="Times New Roman" w:cs="Times New Roman"/>
          <w:i/>
          <w:iCs/>
          <w:color w:val="000000"/>
          <w:sz w:val="24"/>
          <w:szCs w:val="24"/>
        </w:rPr>
        <w:t>Е</w:t>
      </w:r>
      <w:r w:rsidRPr="000A07EE">
        <w:rPr>
          <w:rFonts w:ascii="Times New Roman" w:hAnsi="Times New Roman" w:cs="Times New Roman"/>
          <w:i/>
          <w:iCs/>
          <w:color w:val="000000"/>
          <w:sz w:val="24"/>
          <w:szCs w:val="24"/>
          <w:vertAlign w:val="subscript"/>
        </w:rPr>
        <w:t>вн</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Сенс розрахунку цього показника при аналізі економічної ефективності планованих інвестицій полягає в тому, що </w:t>
      </w:r>
      <w:r w:rsidRPr="000A07EE">
        <w:rPr>
          <w:rFonts w:ascii="Times New Roman" w:hAnsi="Times New Roman" w:cs="Times New Roman"/>
          <w:i/>
          <w:iCs/>
          <w:color w:val="000000"/>
          <w:sz w:val="24"/>
          <w:szCs w:val="24"/>
        </w:rPr>
        <w:t>ВНП</w:t>
      </w:r>
      <w:r w:rsidRPr="000A07EE">
        <w:rPr>
          <w:rFonts w:ascii="Times New Roman" w:hAnsi="Times New Roman" w:cs="Times New Roman"/>
          <w:color w:val="000000"/>
          <w:sz w:val="24"/>
          <w:szCs w:val="24"/>
        </w:rPr>
        <w:t xml:space="preserve"> (</w:t>
      </w:r>
      <w:r w:rsidRPr="000A07EE">
        <w:rPr>
          <w:rFonts w:ascii="Times New Roman" w:hAnsi="Times New Roman" w:cs="Times New Roman"/>
          <w:i/>
          <w:iCs/>
          <w:color w:val="000000"/>
          <w:sz w:val="24"/>
          <w:szCs w:val="24"/>
        </w:rPr>
        <w:t>IRR</w:t>
      </w:r>
      <w:r w:rsidRPr="000A07EE">
        <w:rPr>
          <w:rFonts w:ascii="Times New Roman" w:hAnsi="Times New Roman" w:cs="Times New Roman"/>
          <w:color w:val="000000"/>
          <w:sz w:val="24"/>
          <w:szCs w:val="24"/>
        </w:rPr>
        <w:t xml:space="preserve">) показує максимально допустимий відносний рівень доходів, які можуть бути асоційовані з конкретним ОІВ. Наприклад, якщо створення інтелектуального продукту в повному обсязі фінансується за кошти позички комерційного банку, то значення </w:t>
      </w:r>
      <w:r w:rsidRPr="000A07EE">
        <w:rPr>
          <w:rFonts w:ascii="Times New Roman" w:hAnsi="Times New Roman" w:cs="Times New Roman"/>
          <w:i/>
          <w:iCs/>
          <w:color w:val="000000"/>
          <w:sz w:val="24"/>
          <w:szCs w:val="24"/>
        </w:rPr>
        <w:t>IRR</w:t>
      </w:r>
      <w:r w:rsidRPr="000A07EE">
        <w:rPr>
          <w:rFonts w:ascii="Times New Roman" w:hAnsi="Times New Roman" w:cs="Times New Roman"/>
          <w:color w:val="000000"/>
          <w:sz w:val="24"/>
          <w:szCs w:val="24"/>
        </w:rPr>
        <w:t xml:space="preserve"> показує верхню межу допустимого рівня банківської процентної ставки, перевищення якої перетворює розробку ОІВ на збиткову. Критерій вибору – максимальне значення </w:t>
      </w:r>
      <w:r w:rsidRPr="000A07EE">
        <w:rPr>
          <w:rFonts w:ascii="Times New Roman" w:hAnsi="Times New Roman" w:cs="Times New Roman"/>
          <w:i/>
          <w:iCs/>
          <w:color w:val="000000"/>
          <w:sz w:val="24"/>
          <w:szCs w:val="24"/>
        </w:rPr>
        <w:t>IRR</w:t>
      </w:r>
      <w:r w:rsidRPr="000A07EE">
        <w:rPr>
          <w:rFonts w:ascii="Times New Roman" w:hAnsi="Times New Roman" w:cs="Times New Roman"/>
          <w:color w:val="000000"/>
          <w:sz w:val="24"/>
          <w:szCs w:val="24"/>
        </w:rPr>
        <w:t xml:space="preserve"> за умови, що воно перевищує мінімальну ставку банківського відсотка.</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На наш погляд, при використанні показника </w:t>
      </w:r>
      <w:r w:rsidRPr="000A07EE">
        <w:rPr>
          <w:rFonts w:ascii="Times New Roman" w:hAnsi="Times New Roman" w:cs="Times New Roman"/>
          <w:i/>
          <w:iCs/>
          <w:color w:val="000000"/>
          <w:sz w:val="24"/>
          <w:szCs w:val="24"/>
        </w:rPr>
        <w:t>ВНП</w:t>
      </w:r>
      <w:r w:rsidRPr="000A07EE">
        <w:rPr>
          <w:rFonts w:ascii="Times New Roman" w:hAnsi="Times New Roman" w:cs="Times New Roman"/>
          <w:color w:val="000000"/>
          <w:sz w:val="24"/>
          <w:szCs w:val="24"/>
        </w:rPr>
        <w:t xml:space="preserve"> слід бути дуже обережним. По-перше, анализована норма не завжди є. По-друге, рівняння (1.91) може мати більше одного розв’язку. Перший випадок вельми рідкісний. У другому коректний розрахунок </w:t>
      </w:r>
      <w:r w:rsidRPr="000A07EE">
        <w:rPr>
          <w:rFonts w:ascii="Times New Roman" w:hAnsi="Times New Roman" w:cs="Times New Roman"/>
          <w:i/>
          <w:iCs/>
          <w:color w:val="000000"/>
          <w:sz w:val="24"/>
          <w:szCs w:val="24"/>
        </w:rPr>
        <w:t>ВНП</w:t>
      </w:r>
      <w:r w:rsidRPr="000A07EE">
        <w:rPr>
          <w:rFonts w:ascii="Times New Roman" w:hAnsi="Times New Roman" w:cs="Times New Roman"/>
          <w:color w:val="000000"/>
          <w:sz w:val="24"/>
          <w:szCs w:val="24"/>
        </w:rPr>
        <w:t xml:space="preserve"> непростий, хоча і можливий. За перше наближення в ситуації, коли простий (не </w:t>
      </w:r>
      <w:r w:rsidRPr="000A07EE">
        <w:rPr>
          <w:rFonts w:ascii="Times New Roman" w:hAnsi="Times New Roman" w:cs="Times New Roman"/>
          <w:color w:val="000000"/>
          <w:sz w:val="24"/>
          <w:szCs w:val="24"/>
        </w:rPr>
        <w:lastRenderedPageBreak/>
        <w:t xml:space="preserve">дисконтований) інтегральний ефект позитивний, ряд авторів пропонує приймати як </w:t>
      </w:r>
      <w:r w:rsidRPr="000A07EE">
        <w:rPr>
          <w:rFonts w:ascii="Times New Roman" w:hAnsi="Times New Roman" w:cs="Times New Roman"/>
          <w:iCs/>
          <w:color w:val="000000"/>
          <w:sz w:val="24"/>
          <w:szCs w:val="24"/>
        </w:rPr>
        <w:t>Е</w:t>
      </w:r>
      <w:r w:rsidRPr="000A07EE">
        <w:rPr>
          <w:rFonts w:ascii="Times New Roman" w:hAnsi="Times New Roman" w:cs="Times New Roman"/>
          <w:iCs/>
          <w:color w:val="000000"/>
          <w:sz w:val="24"/>
          <w:szCs w:val="24"/>
          <w:vertAlign w:val="subscript"/>
        </w:rPr>
        <w:t>вн</w:t>
      </w:r>
      <w:r w:rsidRPr="000A07EE">
        <w:rPr>
          <w:rFonts w:ascii="Times New Roman" w:hAnsi="Times New Roman" w:cs="Times New Roman"/>
          <w:color w:val="000000"/>
          <w:sz w:val="24"/>
          <w:szCs w:val="24"/>
        </w:rPr>
        <w:t xml:space="preserve"> значення найменшого додатного кореня рівняння.</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Нами розглянуто в основному традиційні підходи до економічної оцінки технологічних продуктів та їх ринкових перспектив. Разом з тим ОІВ є надзвичайно специфічними ринковими товарами, оцінка комерційної привабливості яких далеко не завжди може бути виконана з використанням підходів. Одна з таких специфічних особливостей економічної оцінки ОІВ полягає в тому, що вартісна оцінка ефективності та ринкові перспективи ОІВ визначаються фінансовими показниками бізнесу при їх використанні, а ефективність бізнесу, своєю чергою, обчислюється тими ж самими фінансовими показниками інтелектуального продукту. На думку В.В.Платонова [7], ми тут стикаємося із синдромом барона Мюнхгаузена – спробою підняти самого себе за волосся. Вихід із цього замкнутого кола, на наш погляд, може бути у використанні нефінансових індикаторів.</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У дослідженнях Рогової Е.М. [8; 9], Платонова В.В. [7; 15],         Нестеренко Е.А. [6] та ін. розглядається можливість використання для вирішення цього завдання рідко вживаної, але досить перспективної для практичного застосування у системі технологічного аудиту концепції технологічного важеля. Ця концепція – один із найцікавіших підходів до оцінки комерційної привабливості інтелектуального продукту. У її основу покладено модель «оцінки патентів, зважених з урахуванням цитування» (citation-weighted patents), розроблену Hall і Jaffe в кінці 90-х років [13] і надалі розвинену низкою російських і зарубіжних дослідників [7; 8; 9; 15] з метою встановлення зв'язку між технологічною ефективністю та ефективністю операційної й фінансової діяльності підприємства. В основі цієї моделі лежить оцінка нефінансових індикаторів, що характеризують інтелектуальні продукти, зокрема ОІВ. Після отримання інтегрального кількісного нефінансового індикатора є можливість перейти до фінансового індикатора шляхом зіставлення його значення з ринковою вартістю бізнесу щодо даної інтелектуально-технологічної новації, тобто мова йде про оцінку ринкових перспектив (ринкового, комерційного потенціалу ОІВ).</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За даними В.В.Платонова [7, c.31–32], нефінансові індикатори при оцінці інтелектуального продукту широко застосовували і до оцінки патентів, зважених з урахуванням цитування. Нефінансові індикатори при оцінці інтелектуального капіталу застосовують і в ряді інших методів. Як нам видається, в аналізованому підході (оцінка патентів, зважених з урахуванням цитування) закладено кілька елементів наукової новизни. По-перше, він виділяє ключовий інтегральний показник, який можна зіставити з фінансовою цінністю бізнесу. У нинішніх підходах застосовують десятки і сотні нефінансових показників, які не перебувають у строгому функціональному або навіть статистично доведеному взаємозв'язку. По-друге, починаючи з 80-х років минулого сторіччя, накопичилася необхідна кількісна база даних для розрахунку інтегрального показника, оскільки саме з цього часу ведеться електронна база даних патентної інформації. Йе надає аналізованому методу елементів реального практичного застосування.</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Коротко основні положення такого методичного підходу можна звести ось до чого. Патенти – це важлива частина інтелектуального капіталу промислового підприємства (синонім – нематеріальні активи [7, с.32]). Інформація про патенти є відкритою, доступною для різних компаній, є можливість її аналізувати, оцінювати, зіставляти, прогнозувати. Разом з тим, як показує досвід, реальна економічна цінність (ефективність) патентів може бути визначена тільки для їх невеликої частки. Решта патентів найчастіше виявляються неефективними або просто марними для реального використання у </w:t>
      </w:r>
      <w:r w:rsidRPr="000A07EE">
        <w:rPr>
          <w:rFonts w:ascii="Times New Roman" w:hAnsi="Times New Roman" w:cs="Times New Roman"/>
          <w:color w:val="000000"/>
          <w:sz w:val="24"/>
          <w:szCs w:val="24"/>
        </w:rPr>
        <w:lastRenderedPageBreak/>
        <w:t>виробничому бізнес-процесі. Виникає досить складне завдання: яким чином можна кількісно оцінити корисність патенту, його комерційний потенціал, рівень комерційної привабливості для бізнес-процесів? Якраз для вирішення цього завдання і пропонується використовувати метод оцінки патентів, зважених з урахуванням цитування. Завдяки йому можна отримати індикатор практичної цінності патентів, в основі якого лежить частота їх цитування в інших патентах. Ми акцентуємо увагу на терміні «індикатор», за допомогою якого з'являється можливість досить надійно замінити певну інформацію, необхідну для проведення розрахунків. Причому мова йде про не доступну для аналітиків інформацію. Практичне використання такого роду замінника – дуже важливий практичний прийом економічного аналізу. Коли неможливо отримати потрібні нам дані, слід спробувати використати їх замінник. У даному разі припущення, що цитування відображає практичну цінність патенту, знайшло підтвердження у наукових дослідженнях ряду вчених [7, с.32; 9].</w:t>
      </w:r>
    </w:p>
    <w:p w:rsidR="000A07EE" w:rsidRPr="000A07EE" w:rsidRDefault="000A07EE" w:rsidP="000A07EE">
      <w:pPr>
        <w:tabs>
          <w:tab w:val="left" w:pos="1440"/>
          <w:tab w:val="left" w:pos="59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Але виявилася дивна, на перший погляд, закономірність, на що звертає увагу дослідників проф. Платонов В.В. [7]. Вона полягає в тому, що чим частіше цитує патент підприємство, на якому він отриманий, тим вища вартість його бізнесу. Такого роду твердження, на перший погляд, нелогічне. Логічно було б стверджувати, що цінність патенту буде вищою тоді, коли його цитують інші підприємства. На нашу думку, цю нелогічність (певною мірою парадокс) якраз і можна пояснити ефектом технологічного важеля.</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Поняття «важіль» широко використовується в різних природничих науках і означає пристосування або механізм, що дозволяє посилювати вплив на певний об'єкт. Наприклад, у фінансовому менеджменті таким механізмом виступає постійна складова у сукупних витратах підприємства. У контексті нашого дослідження поняття технологічного важеля відображатиме рівень зміни приросту капіталу підприємства щодо рівня зміни його витрат на інтелектуально-технологічні розробки. При позитивному значенні технологічного важеля можна дійти висновку про рівень інноваційної сприйнятливості підприємством-розробником технологічних новацій, його уміння і здатність не тільки розробляти прогресивні ОІВ, а й ефективно використовувати (комерціалізувати) їх.</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Концепція технологічного важеля була розроблена рядом вчених [6–9; 15] з метою встановлення зв'язку між технологічною ефективністю та ефективністю операційної і фінансової діяльності підприємства. У працях [6–9] технологічний важіль визначений як міра здатності інноваційного підприємства поширювати передові знання, технології, прикладні ноу-хау (тобто здійснювати трансфер технологій), отримані в процесі створення базового ОІВ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на продукти для кінцевих користувачів.</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Аналітична модель технологічного важеля може бути виражена з використанням вартісного підходу через обліково-балансову вартість використаних матеріальних активів таким чином:</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32" style="position:absolute;left:0;text-align:left;margin-left:322.7pt;margin-top:3.3pt;width:51.75pt;height:27.75pt;z-index:251666432" stroked="f">
            <v:textbox>
              <w:txbxContent>
                <w:p w:rsidR="000A07EE" w:rsidRPr="00287C1B" w:rsidRDefault="000A07EE" w:rsidP="000A07EE">
                  <w:pPr>
                    <w:rPr>
                      <w:rFonts w:ascii="Times New Roman" w:hAnsi="Times New Roman"/>
                    </w:rPr>
                  </w:pPr>
                  <w:r>
                    <w:rPr>
                      <w:rFonts w:ascii="Times New Roman" w:hAnsi="Times New Roman"/>
                    </w:rPr>
                    <w:t>(1.92)</w:t>
                  </w:r>
                </w:p>
              </w:txbxContent>
            </v:textbox>
          </v:rect>
        </w:pict>
      </w:r>
      <w:r w:rsidRPr="000A07EE">
        <w:rPr>
          <w:rFonts w:ascii="Times New Roman" w:hAnsi="Times New Roman" w:cs="Times New Roman"/>
          <w:color w:val="000000"/>
          <w:sz w:val="24"/>
          <w:szCs w:val="24"/>
        </w:rPr>
        <w:object w:dxaOrig="2140" w:dyaOrig="700">
          <v:shape id="_x0000_i1031" type="#_x0000_t75" style="width:116.7pt;height:38.05pt" o:ole="">
            <v:imagedata r:id="rId19" o:title=""/>
          </v:shape>
          <o:OLEObject Type="Embed" ProgID="Equation.3" ShapeID="_x0000_i1031" DrawAspect="Content" ObjectID="_1508998390" r:id="rId20"/>
        </w:objec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де </w:t>
      </w:r>
      <w:r w:rsidRPr="000A07EE">
        <w:rPr>
          <w:rFonts w:ascii="Times New Roman" w:hAnsi="Times New Roman" w:cs="Times New Roman"/>
          <w:i/>
          <w:iCs/>
          <w:color w:val="000000"/>
          <w:sz w:val="24"/>
          <w:szCs w:val="24"/>
        </w:rPr>
        <w:t>ТВ</w:t>
      </w:r>
      <w:r w:rsidRPr="000A07EE">
        <w:rPr>
          <w:rFonts w:ascii="Times New Roman" w:hAnsi="Times New Roman" w:cs="Times New Roman"/>
          <w:i/>
          <w:color w:val="000000"/>
          <w:sz w:val="24"/>
          <w:szCs w:val="24"/>
        </w:rPr>
        <w:t xml:space="preserve"> </w:t>
      </w:r>
      <w:r w:rsidRPr="000A07EE">
        <w:rPr>
          <w:rFonts w:ascii="Times New Roman" w:hAnsi="Times New Roman" w:cs="Times New Roman"/>
          <w:color w:val="000000"/>
          <w:sz w:val="24"/>
          <w:szCs w:val="24"/>
        </w:rPr>
        <w:t>– технологічний важіль;</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iCs/>
          <w:color w:val="000000"/>
          <w:sz w:val="24"/>
          <w:szCs w:val="24"/>
        </w:rPr>
        <w:t xml:space="preserve">     </w:t>
      </w:r>
      <w:r w:rsidRPr="000A07EE">
        <w:rPr>
          <w:rFonts w:ascii="Times New Roman" w:hAnsi="Times New Roman" w:cs="Times New Roman"/>
          <w:i/>
          <w:iCs/>
          <w:color w:val="000000"/>
          <w:sz w:val="24"/>
          <w:szCs w:val="24"/>
        </w:rPr>
        <w:t>N</w:t>
      </w:r>
      <w:r w:rsidRPr="000A07EE">
        <w:rPr>
          <w:rFonts w:ascii="Times New Roman" w:hAnsi="Times New Roman" w:cs="Times New Roman"/>
          <w:color w:val="000000"/>
          <w:sz w:val="24"/>
          <w:szCs w:val="24"/>
        </w:rPr>
        <w:t xml:space="preserve"> – кількість нових сфер і напрямів використання базового об'єкта інтелектуальної власності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у продуктах і технологіях;</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iCs/>
          <w:color w:val="000000"/>
          <w:sz w:val="24"/>
          <w:szCs w:val="24"/>
        </w:rPr>
        <w:t xml:space="preserve">      </w:t>
      </w:r>
      <w:r w:rsidRPr="000A07EE">
        <w:rPr>
          <w:rFonts w:ascii="Times New Roman" w:hAnsi="Times New Roman" w:cs="Times New Roman"/>
          <w:i/>
          <w:iCs/>
          <w:color w:val="000000"/>
          <w:sz w:val="24"/>
          <w:szCs w:val="24"/>
        </w:rPr>
        <w:t>З</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i/>
          <w:color w:val="000000"/>
          <w:sz w:val="24"/>
          <w:szCs w:val="24"/>
        </w:rPr>
        <w:t xml:space="preserve"> </w:t>
      </w:r>
      <w:r w:rsidRPr="000A07EE">
        <w:rPr>
          <w:rFonts w:ascii="Times New Roman" w:hAnsi="Times New Roman" w:cs="Times New Roman"/>
          <w:color w:val="000000"/>
          <w:sz w:val="24"/>
          <w:szCs w:val="24"/>
        </w:rPr>
        <w:t xml:space="preserve">– витрати (вартість матеріальних активів), пов'язані з розробкою </w:t>
      </w:r>
      <w:r w:rsidRPr="000A07EE">
        <w:rPr>
          <w:rFonts w:ascii="Times New Roman" w:hAnsi="Times New Roman" w:cs="Times New Roman"/>
          <w:iCs/>
          <w:color w:val="000000"/>
          <w:sz w:val="24"/>
          <w:szCs w:val="24"/>
        </w:rPr>
        <w:t>ОІВ</w:t>
      </w:r>
      <w:r w:rsidRPr="000A07EE">
        <w:rPr>
          <w:rFonts w:ascii="Times New Roman" w:hAnsi="Times New Roman" w:cs="Times New Roman"/>
          <w:iCs/>
          <w:color w:val="000000"/>
          <w:sz w:val="24"/>
          <w:szCs w:val="24"/>
          <w:vertAlign w:val="subscript"/>
        </w:rPr>
        <w:t>баз</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     </w:t>
      </w:r>
      <w:r w:rsidRPr="000A07EE">
        <w:rPr>
          <w:rFonts w:ascii="Times New Roman" w:hAnsi="Times New Roman" w:cs="Times New Roman"/>
          <w:i/>
          <w:iCs/>
          <w:color w:val="000000"/>
          <w:sz w:val="24"/>
          <w:szCs w:val="24"/>
        </w:rPr>
        <w:t>З</w:t>
      </w:r>
      <w:r w:rsidRPr="000A07EE">
        <w:rPr>
          <w:rFonts w:ascii="Times New Roman" w:hAnsi="Times New Roman" w:cs="Times New Roman"/>
          <w:i/>
          <w:iCs/>
          <w:color w:val="000000"/>
          <w:sz w:val="24"/>
          <w:szCs w:val="24"/>
          <w:vertAlign w:val="subscript"/>
        </w:rPr>
        <w:t>i</w:t>
      </w:r>
      <w:r w:rsidRPr="000A07EE">
        <w:rPr>
          <w:rFonts w:ascii="Times New Roman" w:hAnsi="Times New Roman" w:cs="Times New Roman"/>
          <w:color w:val="000000"/>
          <w:sz w:val="24"/>
          <w:szCs w:val="24"/>
        </w:rPr>
        <w:t xml:space="preserve"> – вартісна оцінка матеріальних витрат на розробку </w:t>
      </w:r>
      <w:r w:rsidRPr="000A07EE">
        <w:rPr>
          <w:rFonts w:ascii="Times New Roman" w:hAnsi="Times New Roman" w:cs="Times New Roman"/>
          <w:i/>
          <w:iCs/>
          <w:color w:val="000000"/>
          <w:sz w:val="24"/>
          <w:szCs w:val="24"/>
        </w:rPr>
        <w:t>i</w:t>
      </w:r>
      <w:r w:rsidRPr="000A07EE">
        <w:rPr>
          <w:rFonts w:ascii="Times New Roman" w:hAnsi="Times New Roman" w:cs="Times New Roman"/>
          <w:color w:val="000000"/>
          <w:sz w:val="24"/>
          <w:szCs w:val="24"/>
        </w:rPr>
        <w:t xml:space="preserve">-го продукту або технології, створених з використанням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lastRenderedPageBreak/>
        <w:t xml:space="preserve">Наявність технологічного важеля на підприємстві виходячи з логіки формули (7) може бути визначена тільки тоді, коли значення </w:t>
      </w:r>
      <w:r w:rsidRPr="000A07EE">
        <w:rPr>
          <w:rFonts w:ascii="Times New Roman" w:hAnsi="Times New Roman" w:cs="Times New Roman"/>
          <w:i/>
          <w:iCs/>
          <w:color w:val="000000"/>
          <w:sz w:val="24"/>
          <w:szCs w:val="24"/>
        </w:rPr>
        <w:t>ТВ</w:t>
      </w:r>
      <w:r w:rsidRPr="000A07EE">
        <w:rPr>
          <w:rFonts w:ascii="Times New Roman" w:hAnsi="Times New Roman" w:cs="Times New Roman"/>
          <w:color w:val="000000"/>
          <w:sz w:val="24"/>
          <w:szCs w:val="24"/>
        </w:rPr>
        <w:t xml:space="preserve"> у формулі (1.91) перевищить два (</w:t>
      </w:r>
      <w:r w:rsidRPr="000A07EE">
        <w:rPr>
          <w:rFonts w:ascii="Times New Roman" w:hAnsi="Times New Roman" w:cs="Times New Roman"/>
          <w:i/>
          <w:iCs/>
          <w:color w:val="000000"/>
          <w:sz w:val="24"/>
          <w:szCs w:val="24"/>
        </w:rPr>
        <w:t>ТВ</w:t>
      </w:r>
      <w:r w:rsidRPr="000A07EE">
        <w:rPr>
          <w:rFonts w:ascii="Times New Roman" w:hAnsi="Times New Roman" w:cs="Times New Roman"/>
          <w:i/>
          <w:color w:val="000000"/>
          <w:sz w:val="24"/>
          <w:szCs w:val="24"/>
        </w:rPr>
        <w:t xml:space="preserve"> &gt; 2</w:t>
      </w:r>
      <w:r w:rsidRPr="000A07EE">
        <w:rPr>
          <w:rFonts w:ascii="Times New Roman" w:hAnsi="Times New Roman" w:cs="Times New Roman"/>
          <w:color w:val="000000"/>
          <w:sz w:val="24"/>
          <w:szCs w:val="24"/>
        </w:rPr>
        <w:t xml:space="preserve">). В іншому разі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не дозволяє створити нічого суттєво нового, оскільки отримані результати не перевищують витрат на створення самого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Звідси випливає висновок про те, що концепція технологічного важеля пояснює, як створення нового ОІВ може спричти зростанню вартості бізнесу, перевищуючи в рази економічну цінність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взятого ізольовано. Крім того, з'являється реальна можливість ефективного моніторингу економічної віддачі (затребуваності, використання, вживаності) конкретного ОІВ, права на який перебувають у розпорядженні підприємства, його впливу на систему фінансового менеджменту.</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Отже, ще до того, як розроблені на підприємстві нові сфери і напрями використання базового об'єкта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будуть матеріалізовані в нових знаряддях праці або предметах споживання (а саме тоді відбудуться реальні зміни у вартісній структурі матеріальних активів та капіталу підприємства), технологічний важіль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чинитиме непрямий вплив на його активи. Це пов'язано з тим, що при створенні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і виникненні з його використанням нових розробок з'являються і зростають нематеріальні активи підприємства, до яких насамперед слід віднести нові знання, науково-виробничий досвід, ноу-хау тощо, що відповідним чином сприяє зростанню ринкової вартості підприємства. Цей фактор сприяє скороченню обсягу інвестицій в нові розробки, тому що при цьому використовуються вже отримані результати інвестування у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що дозволяє дійти висновку про те, що вплив технологічного важеля буде прямо пропорційним активності підприємства у двох напрямах:</w:t>
      </w:r>
    </w:p>
    <w:p w:rsidR="000A07EE" w:rsidRPr="000A07EE" w:rsidRDefault="000A07EE" w:rsidP="000A07EE">
      <w:pPr>
        <w:numPr>
          <w:ilvl w:val="0"/>
          <w:numId w:val="2"/>
        </w:numPr>
        <w:tabs>
          <w:tab w:val="left" w:pos="851"/>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по-перше, при використанні базової розробки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для створення нових інтелектуальних продуктів;</w:t>
      </w:r>
    </w:p>
    <w:p w:rsidR="000A07EE" w:rsidRPr="000A07EE" w:rsidRDefault="000A07EE" w:rsidP="000A07EE">
      <w:pPr>
        <w:numPr>
          <w:ilvl w:val="0"/>
          <w:numId w:val="2"/>
        </w:numPr>
        <w:tabs>
          <w:tab w:val="left" w:pos="851"/>
        </w:tabs>
        <w:suppressAutoHyphens/>
        <w:spacing w:after="0" w:line="264" w:lineRule="auto"/>
        <w:ind w:left="0"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по-друге, у системі внутрішнього і зовнішнього трансферу технологій.</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Рівень комерційного потенціалу інтелектуальної технології (</w:t>
      </w:r>
      <w:r w:rsidRPr="000A07EE">
        <w:rPr>
          <w:rFonts w:ascii="Times New Roman" w:hAnsi="Times New Roman" w:cs="Times New Roman"/>
          <w:i/>
          <w:iCs/>
          <w:color w:val="000000"/>
          <w:sz w:val="24"/>
          <w:szCs w:val="24"/>
        </w:rPr>
        <w:t>РКП</w:t>
      </w:r>
      <w:r w:rsidRPr="000A07EE">
        <w:rPr>
          <w:rFonts w:ascii="Times New Roman" w:hAnsi="Times New Roman" w:cs="Times New Roman"/>
          <w:color w:val="000000"/>
          <w:sz w:val="24"/>
          <w:szCs w:val="24"/>
        </w:rPr>
        <w:t xml:space="preserve">) не обмежується тільки індикатором (1.91), тобто дією технологічного важеля. Як показують результати проведених раніше досліджень [3; 8; 11; 14], формування комерційного потенціалу інтелектуальної технології перебуває під впливом не тільки технологічного важеля </w:t>
      </w:r>
      <w:r w:rsidRPr="000A07EE">
        <w:rPr>
          <w:rFonts w:ascii="Times New Roman" w:hAnsi="Times New Roman" w:cs="Times New Roman"/>
          <w:i/>
          <w:iCs/>
          <w:color w:val="000000"/>
          <w:sz w:val="24"/>
          <w:szCs w:val="24"/>
        </w:rPr>
        <w:t>ТВ</w:t>
      </w:r>
      <w:r w:rsidRPr="000A07EE">
        <w:rPr>
          <w:rFonts w:ascii="Times New Roman" w:hAnsi="Times New Roman" w:cs="Times New Roman"/>
          <w:color w:val="000000"/>
          <w:sz w:val="24"/>
          <w:szCs w:val="24"/>
        </w:rPr>
        <w:t xml:space="preserve">. Його потенційна сила (рівень, значення) може бути представлена як певна залежність комерційного потенціалу інтелектуальної технології </w:t>
      </w:r>
      <w:r w:rsidRPr="000A07EE">
        <w:rPr>
          <w:rFonts w:ascii="Times New Roman" w:hAnsi="Times New Roman" w:cs="Times New Roman"/>
          <w:i/>
          <w:iCs/>
          <w:color w:val="000000"/>
          <w:sz w:val="24"/>
          <w:szCs w:val="24"/>
        </w:rPr>
        <w:t>РКП</w:t>
      </w:r>
      <w:r w:rsidRPr="000A07EE">
        <w:rPr>
          <w:rFonts w:ascii="Times New Roman" w:hAnsi="Times New Roman" w:cs="Times New Roman"/>
          <w:color w:val="000000"/>
          <w:sz w:val="24"/>
          <w:szCs w:val="24"/>
        </w:rPr>
        <w:t xml:space="preserve"> від декількох надзвичайно важливих факторів, які паралельно діють на загальний результат. До них пропонуємо віднести, як нам видається, найважливіші складові </w:t>
      </w:r>
      <w:r w:rsidRPr="000A07EE">
        <w:rPr>
          <w:rFonts w:ascii="Times New Roman" w:hAnsi="Times New Roman" w:cs="Times New Roman"/>
          <w:i/>
          <w:iCs/>
          <w:color w:val="000000"/>
          <w:sz w:val="24"/>
          <w:szCs w:val="24"/>
        </w:rPr>
        <w:t>РКП</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а) технологічний важіль </w:t>
      </w:r>
      <w:r w:rsidRPr="000A07EE">
        <w:rPr>
          <w:rFonts w:ascii="Times New Roman" w:hAnsi="Times New Roman" w:cs="Times New Roman"/>
          <w:i/>
          <w:iCs/>
          <w:color w:val="000000"/>
          <w:sz w:val="24"/>
          <w:szCs w:val="24"/>
        </w:rPr>
        <w:t>ТВ</w:t>
      </w:r>
      <w:r w:rsidRPr="000A07EE">
        <w:rPr>
          <w:rFonts w:ascii="Times New Roman" w:hAnsi="Times New Roman" w:cs="Times New Roman"/>
          <w:color w:val="000000"/>
          <w:sz w:val="24"/>
          <w:szCs w:val="24"/>
        </w:rPr>
        <w:t xml:space="preserve">, сила та значущість якого для інноваційного підприємства визначається залежністю (1.91) і умовою </w:t>
      </w:r>
      <w:r w:rsidRPr="000A07EE">
        <w:rPr>
          <w:rFonts w:ascii="Times New Roman" w:hAnsi="Times New Roman" w:cs="Times New Roman"/>
          <w:i/>
          <w:iCs/>
          <w:color w:val="000000"/>
          <w:sz w:val="24"/>
          <w:szCs w:val="24"/>
        </w:rPr>
        <w:t>ТВ</w:t>
      </w:r>
      <w:r w:rsidRPr="000A07EE">
        <w:rPr>
          <w:rFonts w:ascii="Times New Roman" w:hAnsi="Times New Roman" w:cs="Times New Roman"/>
          <w:color w:val="000000"/>
          <w:sz w:val="24"/>
          <w:szCs w:val="24"/>
        </w:rPr>
        <w:t xml:space="preserve"> &gt; 2;</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б) важіль ранніх стадій життєвого циклу інноваційного продукту (</w:t>
      </w:r>
      <w:r w:rsidRPr="000A07EE">
        <w:rPr>
          <w:rFonts w:ascii="Times New Roman" w:hAnsi="Times New Roman" w:cs="Times New Roman"/>
          <w:i/>
          <w:iCs/>
          <w:color w:val="000000"/>
          <w:sz w:val="24"/>
          <w:szCs w:val="24"/>
        </w:rPr>
        <w:t>ВР</w:t>
      </w:r>
      <w:r w:rsidRPr="000A07EE">
        <w:rPr>
          <w:rFonts w:ascii="Times New Roman" w:hAnsi="Times New Roman" w:cs="Times New Roman"/>
          <w:color w:val="000000"/>
          <w:sz w:val="24"/>
          <w:szCs w:val="24"/>
        </w:rPr>
        <w:t xml:space="preserve">), який виникає на етапі освоєння ринку для нової інтелектуально-технологічної продукції і забезпечується її оригінальністю, високим рівнем споживчих властивостей і, як наслідок, вищою ціною, тобто вводиться в дію ціновий важіль (ціновий левередж ОІВ). Суть його в тому, що підприємство-розробник може встановлювати вищі ціни на свою продукцію на етапі монопольної присутності на ринку певного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(період дії патентного захисту, виключної ліцензії тощо) і в результаті отримувати вищий маржинальний прибуток (крім конкретного підприємства на конкретному етапі використовувати</w:t>
      </w:r>
      <w:r w:rsidRPr="000A07EE">
        <w:rPr>
          <w:rFonts w:ascii="Times New Roman" w:hAnsi="Times New Roman" w:cs="Times New Roman"/>
          <w:iCs/>
          <w:color w:val="000000"/>
          <w:sz w:val="24"/>
          <w:szCs w:val="24"/>
        </w:rPr>
        <w:t xml:space="preserve">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для виготовлення прогресивної продукції ніхто не має права). Важіль ранніх стадій життєвого циклу інтелектуально-інноваційного продукту (ціновий левередж ОІВ) показує, у скільки разів темпи зміни ціни продажів перевищують темпи зміни прибутку, і обчислюється за формулою:</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lastRenderedPageBreak/>
        <w:pict>
          <v:rect id="_x0000_s1033" style="position:absolute;left:0;text-align:left;margin-left:335.95pt;margin-top:6.45pt;width:42pt;height:26.25pt;z-index:251667456" stroked="f">
            <v:textbox>
              <w:txbxContent>
                <w:p w:rsidR="000A07EE" w:rsidRPr="00B5442E" w:rsidRDefault="000A07EE" w:rsidP="000A07EE">
                  <w:pPr>
                    <w:rPr>
                      <w:rFonts w:ascii="Times New Roman" w:hAnsi="Times New Roman"/>
                    </w:rPr>
                  </w:pPr>
                  <w:r>
                    <w:rPr>
                      <w:rFonts w:ascii="Times New Roman" w:hAnsi="Times New Roman"/>
                    </w:rPr>
                    <w:t>(1.93)</w:t>
                  </w:r>
                </w:p>
              </w:txbxContent>
            </v:textbox>
          </v:rect>
        </w:pict>
      </w:r>
      <w:r w:rsidRPr="000A07EE">
        <w:rPr>
          <w:rFonts w:ascii="Times New Roman" w:hAnsi="Times New Roman" w:cs="Times New Roman"/>
          <w:color w:val="000000"/>
          <w:sz w:val="24"/>
          <w:szCs w:val="24"/>
        </w:rPr>
        <w:object w:dxaOrig="5620" w:dyaOrig="660">
          <v:shape id="_x0000_i1032" type="#_x0000_t75" style="width:240pt;height:28.15pt" o:ole="">
            <v:imagedata r:id="rId21" o:title=""/>
          </v:shape>
          <o:OLEObject Type="Embed" ProgID="Equation.3" ShapeID="_x0000_i1032" DrawAspect="Content" ObjectID="_1508998391" r:id="rId22"/>
        </w:objec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де </w:t>
      </w:r>
      <w:r w:rsidRPr="000A07EE">
        <w:rPr>
          <w:rFonts w:ascii="Times New Roman" w:hAnsi="Times New Roman" w:cs="Times New Roman"/>
          <w:i/>
          <w:iCs/>
          <w:color w:val="000000"/>
          <w:sz w:val="24"/>
          <w:szCs w:val="24"/>
        </w:rPr>
        <w:t>Ц</w:t>
      </w:r>
      <w:r w:rsidRPr="000A07EE">
        <w:rPr>
          <w:rFonts w:ascii="Times New Roman" w:hAnsi="Times New Roman" w:cs="Times New Roman"/>
          <w:i/>
          <w:iCs/>
          <w:color w:val="000000"/>
          <w:sz w:val="24"/>
          <w:szCs w:val="24"/>
          <w:vertAlign w:val="subscript"/>
        </w:rPr>
        <w:t>пр</w:t>
      </w:r>
      <w:r w:rsidRPr="000A07EE">
        <w:rPr>
          <w:rFonts w:ascii="Times New Roman" w:hAnsi="Times New Roman" w:cs="Times New Roman"/>
          <w:iCs/>
          <w:color w:val="000000"/>
          <w:sz w:val="24"/>
          <w:szCs w:val="24"/>
        </w:rPr>
        <w:t xml:space="preserve"> </w:t>
      </w:r>
      <w:r w:rsidRPr="000A07EE">
        <w:rPr>
          <w:rFonts w:ascii="Times New Roman" w:hAnsi="Times New Roman" w:cs="Times New Roman"/>
          <w:color w:val="000000"/>
          <w:sz w:val="24"/>
          <w:szCs w:val="24"/>
        </w:rPr>
        <w:t xml:space="preserve">– ціна продажів інтелектуально-інноваційної продукції, створеної з використанням </w:t>
      </w:r>
      <w:r w:rsidRPr="000A07EE">
        <w:rPr>
          <w:rFonts w:ascii="Times New Roman" w:hAnsi="Times New Roman" w:cs="Times New Roman"/>
          <w:iCs/>
          <w:color w:val="000000"/>
          <w:sz w:val="24"/>
          <w:szCs w:val="24"/>
        </w:rPr>
        <w:t>ОІВ</w:t>
      </w:r>
      <w:r w:rsidRPr="000A07EE">
        <w:rPr>
          <w:rFonts w:ascii="Times New Roman" w:hAnsi="Times New Roman" w:cs="Times New Roman"/>
          <w:iCs/>
          <w:color w:val="000000"/>
          <w:sz w:val="24"/>
          <w:szCs w:val="24"/>
          <w:vertAlign w:val="subscript"/>
        </w:rPr>
        <w:t>баз</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i/>
          <w:iCs/>
          <w:color w:val="000000"/>
          <w:sz w:val="24"/>
          <w:szCs w:val="24"/>
        </w:rPr>
        <w:t>П</w:t>
      </w:r>
      <w:r w:rsidRPr="000A07EE">
        <w:rPr>
          <w:rFonts w:ascii="Times New Roman" w:hAnsi="Times New Roman" w:cs="Times New Roman"/>
          <w:color w:val="000000"/>
          <w:sz w:val="24"/>
          <w:szCs w:val="24"/>
        </w:rPr>
        <w:t xml:space="preserve"> – прибуток від продаж;</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i/>
          <w:iCs/>
          <w:color w:val="000000"/>
          <w:sz w:val="24"/>
          <w:szCs w:val="24"/>
          <w:lang w:val="en-US"/>
        </w:rPr>
        <w:t>C</w:t>
      </w:r>
      <w:r w:rsidRPr="000A07EE">
        <w:rPr>
          <w:rFonts w:ascii="Times New Roman" w:hAnsi="Times New Roman" w:cs="Times New Roman"/>
          <w:i/>
          <w:iCs/>
          <w:color w:val="000000"/>
          <w:sz w:val="24"/>
          <w:szCs w:val="24"/>
          <w:vertAlign w:val="subscript"/>
        </w:rPr>
        <w:t>зм</w:t>
      </w:r>
      <w:r w:rsidRPr="000A07EE">
        <w:rPr>
          <w:rFonts w:ascii="Times New Roman" w:hAnsi="Times New Roman" w:cs="Times New Roman"/>
          <w:color w:val="000000"/>
          <w:sz w:val="24"/>
          <w:szCs w:val="24"/>
        </w:rPr>
        <w:t xml:space="preserve"> – змінні витрати у собівартості одиниці продукції;</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i/>
          <w:iCs/>
          <w:color w:val="000000"/>
          <w:sz w:val="24"/>
          <w:szCs w:val="24"/>
        </w:rPr>
        <w:t>С</w:t>
      </w:r>
      <w:r w:rsidRPr="000A07EE">
        <w:rPr>
          <w:rFonts w:ascii="Times New Roman" w:hAnsi="Times New Roman" w:cs="Times New Roman"/>
          <w:i/>
          <w:iCs/>
          <w:color w:val="000000"/>
          <w:sz w:val="24"/>
          <w:szCs w:val="24"/>
          <w:vertAlign w:val="subscript"/>
        </w:rPr>
        <w:t>пост</w:t>
      </w:r>
      <w:r w:rsidRPr="000A07EE">
        <w:rPr>
          <w:rFonts w:ascii="Times New Roman" w:hAnsi="Times New Roman" w:cs="Times New Roman"/>
          <w:color w:val="000000"/>
          <w:sz w:val="24"/>
          <w:szCs w:val="24"/>
        </w:rPr>
        <w:t xml:space="preserve"> – постійні витрати у собівартості продукції.</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в) операційний важіль (натуральний операційний левередж) – </w:t>
      </w:r>
      <w:r w:rsidRPr="000A07EE">
        <w:rPr>
          <w:rFonts w:ascii="Times New Roman" w:hAnsi="Times New Roman" w:cs="Times New Roman"/>
          <w:i/>
          <w:iCs/>
          <w:color w:val="000000"/>
          <w:sz w:val="24"/>
          <w:szCs w:val="24"/>
        </w:rPr>
        <w:t>ОВ</w:t>
      </w:r>
      <w:r w:rsidRPr="000A07EE">
        <w:rPr>
          <w:rFonts w:ascii="Times New Roman" w:hAnsi="Times New Roman" w:cs="Times New Roman"/>
          <w:color w:val="000000"/>
          <w:sz w:val="24"/>
          <w:szCs w:val="24"/>
        </w:rPr>
        <w:t xml:space="preserve"> – тісно пов'язаний з важелем ранніх стадій життєвого циклу товару і показує, у скільки разів темпи зміни прибутку від продажів перевищують темпи зміни виручки. Прогресивність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як правило, підтверджується і зростаючими обсягами виробництва та збуту технологічної продукції. Для ефективних ОІВ значення </w:t>
      </w:r>
      <w:r w:rsidRPr="000A07EE">
        <w:rPr>
          <w:rFonts w:ascii="Times New Roman" w:hAnsi="Times New Roman" w:cs="Times New Roman"/>
          <w:i/>
          <w:iCs/>
          <w:color w:val="000000"/>
          <w:sz w:val="24"/>
          <w:szCs w:val="24"/>
        </w:rPr>
        <w:t>ОВ</w:t>
      </w:r>
      <w:r w:rsidRPr="000A07EE">
        <w:rPr>
          <w:rFonts w:ascii="Times New Roman" w:hAnsi="Times New Roman" w:cs="Times New Roman"/>
          <w:color w:val="000000"/>
          <w:sz w:val="24"/>
          <w:szCs w:val="24"/>
        </w:rPr>
        <w:t xml:space="preserve">, як правило, більше одиниці, тобто при збільшенні виторгу (ціни) на 1% прибуток зросте на більшу величину. Розрахунок операційного важеля </w:t>
      </w:r>
      <w:r w:rsidRPr="000A07EE">
        <w:rPr>
          <w:rFonts w:ascii="Times New Roman" w:hAnsi="Times New Roman" w:cs="Times New Roman"/>
          <w:i/>
          <w:iCs/>
          <w:color w:val="000000"/>
          <w:sz w:val="24"/>
          <w:szCs w:val="24"/>
        </w:rPr>
        <w:t>ОВ</w:t>
      </w:r>
      <w:r w:rsidRPr="000A07EE">
        <w:rPr>
          <w:rFonts w:ascii="Times New Roman" w:hAnsi="Times New Roman" w:cs="Times New Roman"/>
          <w:color w:val="000000"/>
          <w:sz w:val="24"/>
          <w:szCs w:val="24"/>
        </w:rPr>
        <w:t xml:space="preserve"> щодо інтелектуально-інноваційної продукції слід визначати за такою формулою:</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34" style="position:absolute;left:0;text-align:left;margin-left:337.7pt;margin-top:6.8pt;width:42.75pt;height:21pt;z-index:251668480" stroked="f">
            <v:textbox>
              <w:txbxContent>
                <w:p w:rsidR="000A07EE" w:rsidRPr="00B5442E" w:rsidRDefault="000A07EE" w:rsidP="000A07EE">
                  <w:pPr>
                    <w:rPr>
                      <w:rFonts w:ascii="Times New Roman" w:hAnsi="Times New Roman"/>
                    </w:rPr>
                  </w:pPr>
                  <w:r>
                    <w:rPr>
                      <w:rFonts w:ascii="Times New Roman" w:hAnsi="Times New Roman"/>
                    </w:rPr>
                    <w:t>(1.94)</w:t>
                  </w:r>
                </w:p>
              </w:txbxContent>
            </v:textbox>
          </v:rect>
        </w:pict>
      </w:r>
      <w:r w:rsidRPr="000A07EE">
        <w:rPr>
          <w:rFonts w:ascii="Times New Roman" w:hAnsi="Times New Roman" w:cs="Times New Roman"/>
          <w:color w:val="000000"/>
          <w:sz w:val="24"/>
          <w:szCs w:val="24"/>
        </w:rPr>
        <w:object w:dxaOrig="6420" w:dyaOrig="660">
          <v:shape id="_x0000_i1033" type="#_x0000_t75" style="width:257.4pt;height:27.3pt" o:ole="">
            <v:imagedata r:id="rId23" o:title=""/>
          </v:shape>
          <o:OLEObject Type="Embed" ProgID="Equation.3" ShapeID="_x0000_i1033" DrawAspect="Content" ObjectID="_1508998392" r:id="rId24"/>
        </w:objec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де </w:t>
      </w:r>
      <w:r w:rsidRPr="000A07EE">
        <w:rPr>
          <w:rFonts w:ascii="Times New Roman" w:hAnsi="Times New Roman" w:cs="Times New Roman"/>
          <w:i/>
          <w:iCs/>
          <w:color w:val="000000"/>
          <w:sz w:val="24"/>
          <w:szCs w:val="24"/>
        </w:rPr>
        <w:t>В</w:t>
      </w:r>
      <w:r w:rsidRPr="000A07EE">
        <w:rPr>
          <w:rFonts w:ascii="Times New Roman" w:hAnsi="Times New Roman" w:cs="Times New Roman"/>
          <w:i/>
          <w:iCs/>
          <w:color w:val="000000"/>
          <w:sz w:val="24"/>
          <w:szCs w:val="24"/>
          <w:vertAlign w:val="subscript"/>
        </w:rPr>
        <w:t>пр</w:t>
      </w:r>
      <w:r w:rsidRPr="000A07EE">
        <w:rPr>
          <w:rFonts w:ascii="Times New Roman" w:hAnsi="Times New Roman" w:cs="Times New Roman"/>
          <w:color w:val="000000"/>
          <w:sz w:val="24"/>
          <w:szCs w:val="24"/>
        </w:rPr>
        <w:t xml:space="preserve"> – обсяг продажів інтелектуально-інноваційної продукції, створеної з використанням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Відповідно до теорії операційного аналізу зауважимо, що операційний важіль </w:t>
      </w:r>
      <w:r w:rsidRPr="000A07EE">
        <w:rPr>
          <w:rFonts w:ascii="Times New Roman" w:hAnsi="Times New Roman" w:cs="Times New Roman"/>
          <w:i/>
          <w:iCs/>
          <w:color w:val="000000"/>
          <w:sz w:val="24"/>
          <w:szCs w:val="24"/>
        </w:rPr>
        <w:t>ОВ</w:t>
      </w:r>
      <w:r w:rsidRPr="000A07EE">
        <w:rPr>
          <w:rFonts w:ascii="Times New Roman" w:hAnsi="Times New Roman" w:cs="Times New Roman"/>
          <w:color w:val="000000"/>
          <w:sz w:val="24"/>
          <w:szCs w:val="24"/>
        </w:rPr>
        <w:t>, як і</w:t>
      </w:r>
      <w:r w:rsidRPr="000A07EE">
        <w:rPr>
          <w:rFonts w:ascii="Times New Roman" w:hAnsi="Times New Roman" w:cs="Times New Roman"/>
          <w:iCs/>
          <w:color w:val="000000"/>
          <w:sz w:val="24"/>
          <w:szCs w:val="24"/>
        </w:rPr>
        <w:t xml:space="preserve"> </w:t>
      </w:r>
      <w:r w:rsidRPr="000A07EE">
        <w:rPr>
          <w:rFonts w:ascii="Times New Roman" w:hAnsi="Times New Roman" w:cs="Times New Roman"/>
          <w:i/>
          <w:iCs/>
          <w:color w:val="000000"/>
          <w:sz w:val="24"/>
          <w:szCs w:val="24"/>
        </w:rPr>
        <w:t>ВР</w:t>
      </w:r>
      <w:r w:rsidRPr="000A07EE">
        <w:rPr>
          <w:rFonts w:ascii="Times New Roman" w:hAnsi="Times New Roman" w:cs="Times New Roman"/>
          <w:color w:val="000000"/>
          <w:sz w:val="24"/>
          <w:szCs w:val="24"/>
        </w:rPr>
        <w:t xml:space="preserve">, діє в обидва боки, тобто у бік не тільки збільшення, але й зменшення виторгу. Знаючи операційний і ціновий важелі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можна прогнозувати зміну прибутку при зміні виторгу або ціни, а також оцінювати рівень комерційного потенціалу конкретного ОІВ, силу його впливу на результати комерційної діяльності підприємства, в основу якої покладено використання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г) важіль розробника (творця)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w:t>
      </w:r>
      <w:r w:rsidRPr="000A07EE">
        <w:rPr>
          <w:rFonts w:ascii="Times New Roman" w:hAnsi="Times New Roman" w:cs="Times New Roman"/>
          <w:iCs/>
          <w:color w:val="000000"/>
          <w:sz w:val="24"/>
          <w:szCs w:val="24"/>
          <w:vertAlign w:val="subscript"/>
        </w:rPr>
        <w:t>з</w:t>
      </w:r>
      <w:r w:rsidRPr="000A07EE">
        <w:rPr>
          <w:rFonts w:ascii="Times New Roman" w:hAnsi="Times New Roman" w:cs="Times New Roman"/>
          <w:color w:val="000000"/>
          <w:sz w:val="24"/>
          <w:szCs w:val="24"/>
        </w:rPr>
        <w:t xml:space="preserve"> (</w:t>
      </w:r>
      <w:r w:rsidRPr="000A07EE">
        <w:rPr>
          <w:rFonts w:ascii="Times New Roman" w:hAnsi="Times New Roman" w:cs="Times New Roman"/>
          <w:i/>
          <w:iCs/>
          <w:color w:val="000000"/>
          <w:sz w:val="24"/>
          <w:szCs w:val="24"/>
        </w:rPr>
        <w:t>ВТ</w:t>
      </w:r>
      <w:r w:rsidRPr="000A07EE">
        <w:rPr>
          <w:rFonts w:ascii="Times New Roman" w:hAnsi="Times New Roman" w:cs="Times New Roman"/>
          <w:color w:val="000000"/>
          <w:sz w:val="24"/>
          <w:szCs w:val="24"/>
        </w:rPr>
        <w:t xml:space="preserve">) – відтворює отримання при розробці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нових знань, оригінальної інформації, науково-виробничого досвіду, ноу-хау тощо, які можуть бути використані при виробництві або удосконаленні інтелектуально-інноваційних продуктів і технологій. Це може істотно вплинути на обсяг інвестицій у розробки, які були б в іншому разі значно більшими. Важіль розробника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може бути визначений на основі класичної теорії ефективності: як відношення всіх </w:t>
      </w:r>
      <w:r w:rsidRPr="000A07EE">
        <w:rPr>
          <w:rFonts w:ascii="Times New Roman" w:hAnsi="Times New Roman" w:cs="Times New Roman"/>
          <w:i/>
          <w:iCs/>
          <w:color w:val="000000"/>
          <w:sz w:val="24"/>
          <w:szCs w:val="24"/>
        </w:rPr>
        <w:t>j</w:t>
      </w:r>
      <w:r w:rsidRPr="000A07EE">
        <w:rPr>
          <w:rFonts w:ascii="Times New Roman" w:hAnsi="Times New Roman" w:cs="Times New Roman"/>
          <w:color w:val="000000"/>
          <w:sz w:val="24"/>
          <w:szCs w:val="24"/>
        </w:rPr>
        <w:t xml:space="preserve">-х отриманих результатів (це загальна сума всіх надходжень до бюджету розробника від продажу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і від усіх розробок на його основі – </w:t>
      </w:r>
      <w:r w:rsidRPr="000A07EE">
        <w:rPr>
          <w:rFonts w:ascii="Times New Roman" w:hAnsi="Times New Roman" w:cs="Times New Roman"/>
          <w:color w:val="000000"/>
          <w:position w:val="-14"/>
          <w:sz w:val="24"/>
          <w:szCs w:val="24"/>
        </w:rPr>
        <w:object w:dxaOrig="499" w:dyaOrig="400">
          <v:shape id="_x0000_i1034" type="#_x0000_t75" style="width:30.6pt;height:21.5pt" o:ole="">
            <v:imagedata r:id="rId25" o:title=""/>
          </v:shape>
          <o:OLEObject Type="Embed" ProgID="Equation.3" ShapeID="_x0000_i1034" DrawAspect="Content" ObjectID="_1508998393" r:id="rId26"/>
        </w:object>
      </w:r>
      <w:r w:rsidRPr="000A07EE">
        <w:rPr>
          <w:rFonts w:ascii="Times New Roman" w:hAnsi="Times New Roman" w:cs="Times New Roman"/>
          <w:color w:val="000000"/>
          <w:sz w:val="24"/>
          <w:szCs w:val="24"/>
        </w:rPr>
        <w:t xml:space="preserve">) до сумарних витрат </w:t>
      </w:r>
      <w:r w:rsidRPr="000A07EE">
        <w:rPr>
          <w:rFonts w:ascii="Times New Roman" w:hAnsi="Times New Roman" w:cs="Times New Roman"/>
          <w:color w:val="000000"/>
          <w:position w:val="-14"/>
          <w:sz w:val="24"/>
          <w:szCs w:val="24"/>
        </w:rPr>
        <w:object w:dxaOrig="400" w:dyaOrig="400">
          <v:shape id="_x0000_i1035" type="#_x0000_t75" style="width:24.85pt;height:21.5pt" o:ole="">
            <v:imagedata r:id="rId27" o:title=""/>
          </v:shape>
          <o:OLEObject Type="Embed" ProgID="Equation.3" ShapeID="_x0000_i1035" DrawAspect="Content" ObjectID="_1508998394" r:id="rId28"/>
        </w:object>
      </w:r>
      <w:r w:rsidRPr="000A07EE">
        <w:rPr>
          <w:rFonts w:ascii="Times New Roman" w:hAnsi="Times New Roman" w:cs="Times New Roman"/>
          <w:color w:val="000000"/>
          <w:sz w:val="24"/>
          <w:szCs w:val="24"/>
        </w:rPr>
        <w:t xml:space="preserve"> (сумарні витрати на створення і просування всіх </w:t>
      </w:r>
      <w:r w:rsidRPr="000A07EE">
        <w:rPr>
          <w:rFonts w:ascii="Times New Roman" w:hAnsi="Times New Roman" w:cs="Times New Roman"/>
          <w:iCs/>
          <w:color w:val="000000"/>
          <w:sz w:val="24"/>
          <w:szCs w:val="24"/>
        </w:rPr>
        <w:t>j</w:t>
      </w:r>
      <w:r w:rsidRPr="000A07EE">
        <w:rPr>
          <w:rFonts w:ascii="Times New Roman" w:hAnsi="Times New Roman" w:cs="Times New Roman"/>
          <w:color w:val="000000"/>
          <w:sz w:val="24"/>
          <w:szCs w:val="24"/>
        </w:rPr>
        <w:t xml:space="preserve">-х розробок на його основі, включаючи також і базові витрати на створення і просування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35" style="position:absolute;left:0;text-align:left;margin-left:337.7pt;margin-top:20.15pt;width:42.75pt;height:28.5pt;z-index:251669504" stroked="f">
            <v:textbox>
              <w:txbxContent>
                <w:p w:rsidR="000A07EE" w:rsidRPr="00B5442E" w:rsidRDefault="000A07EE" w:rsidP="000A07EE">
                  <w:pPr>
                    <w:rPr>
                      <w:rFonts w:ascii="Times New Roman" w:hAnsi="Times New Roman"/>
                    </w:rPr>
                  </w:pPr>
                  <w:r>
                    <w:rPr>
                      <w:rFonts w:ascii="Times New Roman" w:hAnsi="Times New Roman"/>
                    </w:rPr>
                    <w:t>(1.95)</w:t>
                  </w:r>
                </w:p>
              </w:txbxContent>
            </v:textbox>
          </v:rect>
        </w:pict>
      </w:r>
      <w:r w:rsidRPr="000A07EE">
        <w:rPr>
          <w:rFonts w:ascii="Times New Roman" w:hAnsi="Times New Roman" w:cs="Times New Roman"/>
          <w:color w:val="000000"/>
          <w:sz w:val="24"/>
          <w:szCs w:val="24"/>
        </w:rPr>
        <w:object w:dxaOrig="2299" w:dyaOrig="1320">
          <v:shape id="_x0000_i1036" type="#_x0000_t75" style="width:200.3pt;height:58.75pt" o:ole="">
            <v:imagedata r:id="rId29" o:title=""/>
          </v:shape>
          <o:OLEObject Type="Embed" ProgID="Equation.3" ShapeID="_x0000_i1036" DrawAspect="Content" ObjectID="_1508998395" r:id="rId30"/>
        </w:objec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д) сила комерційного потенціалу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може бути також розглянута як деяка функція від фінансового важеля – </w:t>
      </w:r>
      <w:r w:rsidRPr="000A07EE">
        <w:rPr>
          <w:rFonts w:ascii="Times New Roman" w:hAnsi="Times New Roman" w:cs="Times New Roman"/>
          <w:i/>
          <w:iCs/>
          <w:color w:val="000000"/>
          <w:sz w:val="24"/>
          <w:szCs w:val="24"/>
        </w:rPr>
        <w:t>ФВ</w:t>
      </w:r>
      <w:r w:rsidRPr="000A07EE">
        <w:rPr>
          <w:rFonts w:ascii="Times New Roman" w:hAnsi="Times New Roman" w:cs="Times New Roman"/>
          <w:color w:val="000000"/>
          <w:sz w:val="24"/>
          <w:szCs w:val="24"/>
        </w:rPr>
        <w:t xml:space="preserve"> (фінансового левереджу ОІВ), який у традиційному випадку відображає відношення позикового капіталу </w:t>
      </w:r>
      <w:r w:rsidRPr="000A07EE">
        <w:rPr>
          <w:rFonts w:ascii="Times New Roman" w:hAnsi="Times New Roman" w:cs="Times New Roman"/>
          <w:i/>
          <w:iCs/>
          <w:color w:val="000000"/>
          <w:sz w:val="24"/>
          <w:szCs w:val="24"/>
        </w:rPr>
        <w:t>К</w:t>
      </w:r>
      <w:r w:rsidRPr="000A07EE">
        <w:rPr>
          <w:rFonts w:ascii="Times New Roman" w:hAnsi="Times New Roman" w:cs="Times New Roman"/>
          <w:i/>
          <w:iCs/>
          <w:color w:val="000000"/>
          <w:sz w:val="24"/>
          <w:szCs w:val="24"/>
          <w:vertAlign w:val="subscript"/>
        </w:rPr>
        <w:t>поз</w:t>
      </w:r>
      <w:r w:rsidRPr="000A07EE">
        <w:rPr>
          <w:rFonts w:ascii="Times New Roman" w:hAnsi="Times New Roman" w:cs="Times New Roman"/>
          <w:color w:val="000000"/>
          <w:sz w:val="24"/>
          <w:szCs w:val="24"/>
        </w:rPr>
        <w:t xml:space="preserve"> підприємства до власних коштів </w:t>
      </w:r>
      <w:r w:rsidRPr="000A07EE">
        <w:rPr>
          <w:rFonts w:ascii="Times New Roman" w:hAnsi="Times New Roman" w:cs="Times New Roman"/>
          <w:i/>
          <w:iCs/>
          <w:color w:val="000000"/>
          <w:sz w:val="24"/>
          <w:szCs w:val="24"/>
        </w:rPr>
        <w:t>К</w:t>
      </w:r>
      <w:r w:rsidRPr="000A07EE">
        <w:rPr>
          <w:rFonts w:ascii="Times New Roman" w:hAnsi="Times New Roman" w:cs="Times New Roman"/>
          <w:i/>
          <w:iCs/>
          <w:color w:val="000000"/>
          <w:sz w:val="24"/>
          <w:szCs w:val="24"/>
          <w:vertAlign w:val="subscript"/>
        </w:rPr>
        <w:t>вл</w:t>
      </w:r>
      <w:r w:rsidRPr="000A07EE">
        <w:rPr>
          <w:rFonts w:ascii="Times New Roman" w:hAnsi="Times New Roman" w:cs="Times New Roman"/>
          <w:color w:val="000000"/>
          <w:sz w:val="24"/>
          <w:szCs w:val="24"/>
        </w:rPr>
        <w:t xml:space="preserve">, тобто </w:t>
      </w:r>
      <w:r w:rsidRPr="000A07EE">
        <w:rPr>
          <w:rFonts w:ascii="Times New Roman" w:hAnsi="Times New Roman" w:cs="Times New Roman"/>
          <w:color w:val="000000"/>
          <w:position w:val="-24"/>
          <w:sz w:val="24"/>
          <w:szCs w:val="24"/>
        </w:rPr>
        <w:object w:dxaOrig="1780" w:dyaOrig="600">
          <v:shape id="_x0000_i1037" type="#_x0000_t75" style="width:71.15pt;height:28.15pt" o:ole="">
            <v:imagedata r:id="rId31" o:title=""/>
          </v:shape>
          <o:OLEObject Type="Embed" ProgID="Equation.3" ShapeID="_x0000_i1037" DrawAspect="Content" ObjectID="_1508998396" r:id="rId32"/>
        </w:object>
      </w:r>
      <w:r w:rsidRPr="000A07EE">
        <w:rPr>
          <w:rFonts w:ascii="Times New Roman" w:hAnsi="Times New Roman" w:cs="Times New Roman"/>
          <w:color w:val="000000"/>
          <w:sz w:val="24"/>
          <w:szCs w:val="24"/>
        </w:rPr>
        <w:t xml:space="preserve">. Чим менший фінансовий важіль </w:t>
      </w:r>
      <w:r w:rsidRPr="000A07EE">
        <w:rPr>
          <w:rFonts w:ascii="Times New Roman" w:hAnsi="Times New Roman" w:cs="Times New Roman"/>
          <w:i/>
          <w:iCs/>
          <w:color w:val="000000"/>
          <w:sz w:val="24"/>
          <w:szCs w:val="24"/>
        </w:rPr>
        <w:t>ФВ</w:t>
      </w:r>
      <w:r w:rsidRPr="000A07EE">
        <w:rPr>
          <w:rFonts w:ascii="Times New Roman" w:hAnsi="Times New Roman" w:cs="Times New Roman"/>
          <w:color w:val="000000"/>
          <w:sz w:val="24"/>
          <w:szCs w:val="24"/>
        </w:rPr>
        <w:t>, тим стійкіше становище підприємства. З другого боку, позиковий капітал дозволяє збільшити коефіцієнт рентабельності власного капіталу, тобто отримати додатковий прибуток на власний капітал.</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lastRenderedPageBreak/>
        <w:t>Показник, що відображає рівень додаткового прибутку при використанні позикового капіталу, визначає ефект дії фінансового важеля (</w:t>
      </w:r>
      <w:r w:rsidRPr="000A07EE">
        <w:rPr>
          <w:rFonts w:ascii="Times New Roman" w:hAnsi="Times New Roman" w:cs="Times New Roman"/>
          <w:i/>
          <w:iCs/>
          <w:color w:val="000000"/>
          <w:sz w:val="24"/>
          <w:szCs w:val="24"/>
        </w:rPr>
        <w:t>Е</w:t>
      </w:r>
      <w:r w:rsidRPr="000A07EE">
        <w:rPr>
          <w:rFonts w:ascii="Times New Roman" w:hAnsi="Times New Roman" w:cs="Times New Roman"/>
          <w:i/>
          <w:iCs/>
          <w:color w:val="000000"/>
          <w:sz w:val="24"/>
          <w:szCs w:val="24"/>
          <w:vertAlign w:val="subscript"/>
        </w:rPr>
        <w:t>фв</w:t>
      </w:r>
      <w:r w:rsidRPr="000A07EE">
        <w:rPr>
          <w:rFonts w:ascii="Times New Roman" w:hAnsi="Times New Roman" w:cs="Times New Roman"/>
          <w:color w:val="000000"/>
          <w:sz w:val="24"/>
          <w:szCs w:val="24"/>
        </w:rPr>
        <w:t>). У загальному випадку цей показник розраховується за формулою:</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36" style="position:absolute;left:0;text-align:left;margin-left:338.2pt;margin-top:9.65pt;width:42.75pt;height:25.5pt;z-index:251670528" stroked="f">
            <v:textbox>
              <w:txbxContent>
                <w:p w:rsidR="000A07EE" w:rsidRPr="00B5442E" w:rsidRDefault="000A07EE" w:rsidP="000A07EE">
                  <w:pPr>
                    <w:rPr>
                      <w:rFonts w:ascii="Times New Roman" w:hAnsi="Times New Roman"/>
                    </w:rPr>
                  </w:pPr>
                  <w:r>
                    <w:rPr>
                      <w:rFonts w:ascii="Times New Roman" w:hAnsi="Times New Roman"/>
                    </w:rPr>
                    <w:t>(1.96)</w:t>
                  </w:r>
                </w:p>
              </w:txbxContent>
            </v:textbox>
          </v:rect>
        </w:pict>
      </w:r>
      <w:r w:rsidRPr="000A07EE">
        <w:rPr>
          <w:rFonts w:ascii="Times New Roman" w:hAnsi="Times New Roman" w:cs="Times New Roman"/>
          <w:color w:val="000000"/>
          <w:sz w:val="24"/>
          <w:szCs w:val="24"/>
        </w:rPr>
        <w:object w:dxaOrig="5820" w:dyaOrig="760">
          <v:shape id="_x0000_i1038" type="#_x0000_t75" style="width:238.35pt;height:33.1pt" o:ole="">
            <v:imagedata r:id="rId33" o:title=""/>
          </v:shape>
          <o:OLEObject Type="Embed" ProgID="Equation.3" ShapeID="_x0000_i1038" DrawAspect="Content" ObjectID="_1508998397" r:id="rId34"/>
        </w:objec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де </w:t>
      </w:r>
      <w:r w:rsidRPr="000A07EE">
        <w:rPr>
          <w:rFonts w:ascii="Times New Roman" w:hAnsi="Times New Roman" w:cs="Times New Roman"/>
          <w:i/>
          <w:iCs/>
          <w:color w:val="000000"/>
          <w:sz w:val="24"/>
          <w:szCs w:val="24"/>
        </w:rPr>
        <w:t>Н</w:t>
      </w:r>
      <w:r w:rsidRPr="000A07EE">
        <w:rPr>
          <w:rFonts w:ascii="Times New Roman" w:hAnsi="Times New Roman" w:cs="Times New Roman"/>
          <w:i/>
          <w:iCs/>
          <w:color w:val="000000"/>
          <w:sz w:val="24"/>
          <w:szCs w:val="24"/>
          <w:vertAlign w:val="subscript"/>
        </w:rPr>
        <w:t>пр</w:t>
      </w:r>
      <w:r w:rsidRPr="000A07EE">
        <w:rPr>
          <w:rFonts w:ascii="Times New Roman" w:hAnsi="Times New Roman" w:cs="Times New Roman"/>
          <w:color w:val="000000"/>
          <w:sz w:val="24"/>
          <w:szCs w:val="24"/>
        </w:rPr>
        <w:t xml:space="preserve"> – податок на прибуток (у частках);</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iCs/>
          <w:color w:val="000000"/>
          <w:sz w:val="24"/>
          <w:szCs w:val="24"/>
        </w:rPr>
        <w:t xml:space="preserve">      </w:t>
      </w:r>
      <w:r w:rsidRPr="000A07EE">
        <w:rPr>
          <w:rFonts w:ascii="Times New Roman" w:hAnsi="Times New Roman" w:cs="Times New Roman"/>
          <w:i/>
          <w:iCs/>
          <w:color w:val="000000"/>
          <w:sz w:val="24"/>
          <w:szCs w:val="24"/>
        </w:rPr>
        <w:t>Р</w:t>
      </w:r>
      <w:r w:rsidRPr="000A07EE">
        <w:rPr>
          <w:rFonts w:ascii="Times New Roman" w:hAnsi="Times New Roman" w:cs="Times New Roman"/>
          <w:i/>
          <w:iCs/>
          <w:color w:val="000000"/>
          <w:sz w:val="24"/>
          <w:szCs w:val="24"/>
          <w:vertAlign w:val="subscript"/>
        </w:rPr>
        <w:t>акт</w:t>
      </w:r>
      <w:r w:rsidRPr="000A07EE">
        <w:rPr>
          <w:rFonts w:ascii="Times New Roman" w:hAnsi="Times New Roman" w:cs="Times New Roman"/>
          <w:color w:val="000000"/>
          <w:sz w:val="24"/>
          <w:szCs w:val="24"/>
        </w:rPr>
        <w:t xml:space="preserve"> – рентабельність активів (відношення валового прибутку до середньої вартості всіх активів);</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iCs/>
          <w:color w:val="000000"/>
          <w:sz w:val="24"/>
          <w:szCs w:val="24"/>
        </w:rPr>
        <w:t xml:space="preserve">     </w:t>
      </w:r>
      <w:r w:rsidRPr="000A07EE">
        <w:rPr>
          <w:rFonts w:ascii="Times New Roman" w:hAnsi="Times New Roman" w:cs="Times New Roman"/>
          <w:i/>
          <w:iCs/>
          <w:color w:val="000000"/>
          <w:sz w:val="24"/>
          <w:szCs w:val="24"/>
        </w:rPr>
        <w:t>П</w:t>
      </w:r>
      <w:r w:rsidRPr="000A07EE">
        <w:rPr>
          <w:rFonts w:ascii="Times New Roman" w:hAnsi="Times New Roman" w:cs="Times New Roman"/>
          <w:i/>
          <w:iCs/>
          <w:color w:val="000000"/>
          <w:sz w:val="24"/>
          <w:szCs w:val="24"/>
          <w:vertAlign w:val="subscript"/>
        </w:rPr>
        <w:t>кр</w:t>
      </w:r>
      <w:r w:rsidRPr="000A07EE">
        <w:rPr>
          <w:rFonts w:ascii="Times New Roman" w:hAnsi="Times New Roman" w:cs="Times New Roman"/>
          <w:color w:val="000000"/>
          <w:sz w:val="24"/>
          <w:szCs w:val="24"/>
        </w:rPr>
        <w:t xml:space="preserve"> – кредитна ставка;</w:t>
      </w:r>
    </w:p>
    <w:p w:rsidR="000A07EE" w:rsidRPr="000A07EE" w:rsidRDefault="000A07EE" w:rsidP="000A07EE">
      <w:pPr>
        <w:tabs>
          <w:tab w:val="left" w:pos="1440"/>
        </w:tabs>
        <w:suppressAutoHyphens/>
        <w:spacing w:after="0" w:line="264" w:lineRule="auto"/>
        <w:jc w:val="both"/>
        <w:rPr>
          <w:rFonts w:ascii="Times New Roman" w:hAnsi="Times New Roman" w:cs="Times New Roman"/>
          <w:color w:val="000000"/>
          <w:sz w:val="24"/>
          <w:szCs w:val="24"/>
        </w:rPr>
      </w:pPr>
      <w:r w:rsidRPr="000A07EE">
        <w:rPr>
          <w:rFonts w:ascii="Times New Roman" w:hAnsi="Times New Roman" w:cs="Times New Roman"/>
          <w:i/>
          <w:iCs/>
          <w:color w:val="000000"/>
          <w:sz w:val="24"/>
          <w:szCs w:val="24"/>
        </w:rPr>
        <w:t xml:space="preserve">      Д</w:t>
      </w:r>
      <w:r w:rsidRPr="000A07EE">
        <w:rPr>
          <w:rFonts w:ascii="Times New Roman" w:hAnsi="Times New Roman" w:cs="Times New Roman"/>
          <w:color w:val="000000"/>
          <w:sz w:val="24"/>
          <w:szCs w:val="24"/>
        </w:rPr>
        <w:t xml:space="preserve"> – диференціал (різниця між рентабельністю активів і ставкою за кредит).</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 xml:space="preserve">«Ефект важеля» залежить від інноваційної активності та інноваційних можливостей підприємства-розробника ОІВ. Значення </w:t>
      </w:r>
      <w:r w:rsidRPr="000A07EE">
        <w:rPr>
          <w:rFonts w:ascii="Times New Roman" w:hAnsi="Times New Roman" w:cs="Times New Roman"/>
          <w:i/>
          <w:iCs/>
          <w:color w:val="000000"/>
          <w:sz w:val="24"/>
          <w:szCs w:val="24"/>
        </w:rPr>
        <w:t>Е</w:t>
      </w:r>
      <w:r w:rsidRPr="000A07EE">
        <w:rPr>
          <w:rFonts w:ascii="Times New Roman" w:hAnsi="Times New Roman" w:cs="Times New Roman"/>
          <w:i/>
          <w:iCs/>
          <w:color w:val="000000"/>
          <w:sz w:val="24"/>
          <w:szCs w:val="24"/>
          <w:vertAlign w:val="subscript"/>
        </w:rPr>
        <w:t>фв</w:t>
      </w:r>
      <w:r w:rsidRPr="000A07EE">
        <w:rPr>
          <w:rFonts w:ascii="Times New Roman" w:hAnsi="Times New Roman" w:cs="Times New Roman"/>
          <w:i/>
          <w:color w:val="000000"/>
          <w:sz w:val="24"/>
          <w:szCs w:val="24"/>
        </w:rPr>
        <w:t>,</w:t>
      </w:r>
      <w:r w:rsidRPr="000A07EE">
        <w:rPr>
          <w:rFonts w:ascii="Times New Roman" w:hAnsi="Times New Roman" w:cs="Times New Roman"/>
          <w:color w:val="000000"/>
          <w:sz w:val="24"/>
          <w:szCs w:val="24"/>
        </w:rPr>
        <w:t xml:space="preserve"> як правило, вище для виробництв, які мають вищий науково-технічний рівень, що характерно для інноваційних підприємств. Така ситуація сприяє посиленню механізму ефективності використання позикових коштів. Якщо реалізація конкретного інвестиційного проекту з комерціалізації </w:t>
      </w:r>
      <w:r w:rsidRPr="000A07EE">
        <w:rPr>
          <w:rFonts w:ascii="Times New Roman" w:hAnsi="Times New Roman" w:cs="Times New Roman"/>
          <w:i/>
          <w:iCs/>
          <w:color w:val="000000"/>
          <w:sz w:val="24"/>
          <w:szCs w:val="24"/>
        </w:rPr>
        <w:t>ОІВ</w:t>
      </w:r>
      <w:r w:rsidRPr="000A07EE">
        <w:rPr>
          <w:rFonts w:ascii="Times New Roman" w:hAnsi="Times New Roman" w:cs="Times New Roman"/>
          <w:i/>
          <w:iCs/>
          <w:color w:val="000000"/>
          <w:sz w:val="24"/>
          <w:szCs w:val="24"/>
          <w:vertAlign w:val="subscript"/>
        </w:rPr>
        <w:t>баз</w:t>
      </w:r>
      <w:r w:rsidRPr="000A07EE">
        <w:rPr>
          <w:rFonts w:ascii="Times New Roman" w:hAnsi="Times New Roman" w:cs="Times New Roman"/>
          <w:color w:val="000000"/>
          <w:sz w:val="24"/>
          <w:szCs w:val="24"/>
        </w:rPr>
        <w:t xml:space="preserve"> при вкладенні капіталу забезпечує економічну рентабельність активів </w:t>
      </w:r>
      <w:r w:rsidRPr="000A07EE">
        <w:rPr>
          <w:rFonts w:ascii="Times New Roman" w:hAnsi="Times New Roman" w:cs="Times New Roman"/>
          <w:i/>
          <w:iCs/>
          <w:color w:val="000000"/>
          <w:sz w:val="24"/>
          <w:szCs w:val="24"/>
        </w:rPr>
        <w:t>Р</w:t>
      </w:r>
      <w:r w:rsidRPr="000A07EE">
        <w:rPr>
          <w:rFonts w:ascii="Times New Roman" w:hAnsi="Times New Roman" w:cs="Times New Roman"/>
          <w:i/>
          <w:iCs/>
          <w:color w:val="000000"/>
          <w:sz w:val="24"/>
          <w:szCs w:val="24"/>
          <w:vertAlign w:val="subscript"/>
        </w:rPr>
        <w:t>акт</w:t>
      </w:r>
      <w:r w:rsidRPr="000A07EE">
        <w:rPr>
          <w:rFonts w:ascii="Times New Roman" w:hAnsi="Times New Roman" w:cs="Times New Roman"/>
          <w:color w:val="000000"/>
          <w:sz w:val="24"/>
          <w:szCs w:val="24"/>
        </w:rPr>
        <w:t xml:space="preserve">, а активи покриваються власними коштами </w:t>
      </w:r>
      <w:r w:rsidRPr="000A07EE">
        <w:rPr>
          <w:rFonts w:ascii="Times New Roman" w:hAnsi="Times New Roman" w:cs="Times New Roman"/>
          <w:i/>
          <w:iCs/>
          <w:color w:val="000000"/>
          <w:sz w:val="24"/>
          <w:szCs w:val="24"/>
        </w:rPr>
        <w:t>К</w:t>
      </w:r>
      <w:r w:rsidRPr="000A07EE">
        <w:rPr>
          <w:rFonts w:ascii="Times New Roman" w:hAnsi="Times New Roman" w:cs="Times New Roman"/>
          <w:i/>
          <w:iCs/>
          <w:color w:val="000000"/>
          <w:sz w:val="24"/>
          <w:szCs w:val="24"/>
          <w:vertAlign w:val="subscript"/>
        </w:rPr>
        <w:t>вл</w:t>
      </w:r>
      <w:r w:rsidRPr="000A07EE">
        <w:rPr>
          <w:rFonts w:ascii="Times New Roman" w:hAnsi="Times New Roman" w:cs="Times New Roman"/>
          <w:color w:val="000000"/>
          <w:sz w:val="24"/>
          <w:szCs w:val="24"/>
        </w:rPr>
        <w:t xml:space="preserve"> і позикових </w:t>
      </w:r>
      <w:r w:rsidRPr="000A07EE">
        <w:rPr>
          <w:rFonts w:ascii="Times New Roman" w:hAnsi="Times New Roman" w:cs="Times New Roman"/>
          <w:i/>
          <w:iCs/>
          <w:color w:val="000000"/>
          <w:sz w:val="24"/>
          <w:szCs w:val="24"/>
        </w:rPr>
        <w:t>К</w:t>
      </w:r>
      <w:r w:rsidRPr="000A07EE">
        <w:rPr>
          <w:rFonts w:ascii="Times New Roman" w:hAnsi="Times New Roman" w:cs="Times New Roman"/>
          <w:i/>
          <w:iCs/>
          <w:color w:val="000000"/>
          <w:sz w:val="24"/>
          <w:szCs w:val="24"/>
          <w:vertAlign w:val="subscript"/>
        </w:rPr>
        <w:t>поз</w:t>
      </w:r>
      <w:r w:rsidRPr="000A07EE">
        <w:rPr>
          <w:rFonts w:ascii="Times New Roman" w:hAnsi="Times New Roman" w:cs="Times New Roman"/>
          <w:color w:val="000000"/>
          <w:sz w:val="24"/>
          <w:szCs w:val="24"/>
        </w:rPr>
        <w:t xml:space="preserve"> при ставці відсотка </w:t>
      </w:r>
      <w:r w:rsidRPr="000A07EE">
        <w:rPr>
          <w:rFonts w:ascii="Times New Roman" w:hAnsi="Times New Roman" w:cs="Times New Roman"/>
          <w:i/>
          <w:iCs/>
          <w:color w:val="000000"/>
          <w:sz w:val="24"/>
          <w:szCs w:val="24"/>
        </w:rPr>
        <w:t>П</w:t>
      </w:r>
      <w:r w:rsidRPr="000A07EE">
        <w:rPr>
          <w:rFonts w:ascii="Times New Roman" w:hAnsi="Times New Roman" w:cs="Times New Roman"/>
          <w:i/>
          <w:iCs/>
          <w:color w:val="000000"/>
          <w:sz w:val="24"/>
          <w:szCs w:val="24"/>
          <w:vertAlign w:val="subscript"/>
        </w:rPr>
        <w:t>кр</w:t>
      </w:r>
      <w:r w:rsidRPr="000A07EE">
        <w:rPr>
          <w:rFonts w:ascii="Times New Roman" w:hAnsi="Times New Roman" w:cs="Times New Roman"/>
          <w:color w:val="000000"/>
          <w:sz w:val="24"/>
          <w:szCs w:val="24"/>
        </w:rPr>
        <w:t xml:space="preserve">, то рентабельність власних коштів </w:t>
      </w:r>
      <w:r w:rsidRPr="000A07EE">
        <w:rPr>
          <w:rFonts w:ascii="Times New Roman" w:hAnsi="Times New Roman" w:cs="Times New Roman"/>
          <w:i/>
          <w:iCs/>
          <w:color w:val="000000"/>
          <w:sz w:val="24"/>
          <w:szCs w:val="24"/>
        </w:rPr>
        <w:t>Р</w:t>
      </w:r>
      <w:r w:rsidRPr="000A07EE">
        <w:rPr>
          <w:rFonts w:ascii="Times New Roman" w:hAnsi="Times New Roman" w:cs="Times New Roman"/>
          <w:i/>
          <w:iCs/>
          <w:color w:val="000000"/>
          <w:sz w:val="24"/>
          <w:szCs w:val="24"/>
          <w:vertAlign w:val="subscript"/>
        </w:rPr>
        <w:t>вк</w:t>
      </w:r>
      <w:r w:rsidRPr="000A07EE">
        <w:rPr>
          <w:rFonts w:ascii="Times New Roman" w:hAnsi="Times New Roman" w:cs="Times New Roman"/>
          <w:color w:val="000000"/>
          <w:sz w:val="24"/>
          <w:szCs w:val="24"/>
        </w:rPr>
        <w:t xml:space="preserve"> визначають таким чином:</w:t>
      </w:r>
    </w:p>
    <w:p w:rsidR="000A07EE" w:rsidRPr="000A07EE" w:rsidRDefault="000A07EE" w:rsidP="000A07EE">
      <w:pPr>
        <w:tabs>
          <w:tab w:val="left" w:pos="1440"/>
        </w:tabs>
        <w:suppressAutoHyphens/>
        <w:spacing w:after="0" w:line="264" w:lineRule="auto"/>
        <w:ind w:firstLine="567"/>
        <w:jc w:val="center"/>
        <w:rPr>
          <w:rFonts w:ascii="Times New Roman" w:hAnsi="Times New Roman" w:cs="Times New Roman"/>
          <w:color w:val="000000"/>
          <w:sz w:val="24"/>
          <w:szCs w:val="24"/>
        </w:rPr>
      </w:pPr>
      <w:r w:rsidRPr="000A07EE">
        <w:rPr>
          <w:rFonts w:ascii="Times New Roman" w:hAnsi="Times New Roman" w:cs="Times New Roman"/>
          <w:noProof/>
          <w:color w:val="000000"/>
          <w:sz w:val="24"/>
          <w:szCs w:val="24"/>
        </w:rPr>
        <w:pict>
          <v:rect id="_x0000_s1037" style="position:absolute;left:0;text-align:left;margin-left:338.2pt;margin-top:9.2pt;width:42.75pt;height:26.25pt;z-index:251671552" stroked="f">
            <v:textbox>
              <w:txbxContent>
                <w:p w:rsidR="000A07EE" w:rsidRPr="00210F67" w:rsidRDefault="000A07EE" w:rsidP="000A07EE">
                  <w:pPr>
                    <w:rPr>
                      <w:rFonts w:ascii="Times New Roman" w:hAnsi="Times New Roman"/>
                    </w:rPr>
                  </w:pPr>
                  <w:r>
                    <w:rPr>
                      <w:rFonts w:ascii="Times New Roman" w:hAnsi="Times New Roman"/>
                    </w:rPr>
                    <w:t>(1.97)</w:t>
                  </w:r>
                </w:p>
              </w:txbxContent>
            </v:textbox>
          </v:rect>
        </w:pict>
      </w:r>
      <w:r w:rsidRPr="000A07EE">
        <w:rPr>
          <w:rFonts w:ascii="Times New Roman" w:hAnsi="Times New Roman" w:cs="Times New Roman"/>
          <w:color w:val="000000"/>
          <w:sz w:val="24"/>
          <w:szCs w:val="24"/>
        </w:rPr>
        <w:object w:dxaOrig="6420" w:dyaOrig="740">
          <v:shape id="_x0000_i1039" type="#_x0000_t75" style="width:273.1pt;height:40.55pt" o:ole="">
            <v:imagedata r:id="rId35" o:title=""/>
          </v:shape>
          <o:OLEObject Type="Embed" ProgID="Equation.3" ShapeID="_x0000_i1039" DrawAspect="Content" ObjectID="_1508998398" r:id="rId36"/>
        </w:object>
      </w:r>
      <w:r w:rsidRPr="000A07EE">
        <w:rPr>
          <w:rFonts w:ascii="Times New Roman" w:hAnsi="Times New Roman" w:cs="Times New Roman"/>
          <w:color w:val="000000"/>
          <w:sz w:val="24"/>
          <w:szCs w:val="24"/>
        </w:rPr>
        <w:t>.</w:t>
      </w:r>
    </w:p>
    <w:p w:rsidR="000A07EE" w:rsidRPr="000A07EE" w:rsidRDefault="000A07EE" w:rsidP="000A07EE">
      <w:pPr>
        <w:tabs>
          <w:tab w:val="left" w:pos="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З формули (1.96) випливає очевидний висновок про те, що при додатному значенні диференціала важеля (</w:t>
      </w:r>
      <w:r w:rsidRPr="000A07EE">
        <w:rPr>
          <w:rFonts w:ascii="Times New Roman" w:hAnsi="Times New Roman" w:cs="Times New Roman"/>
          <w:i/>
          <w:iCs/>
          <w:color w:val="000000"/>
          <w:sz w:val="24"/>
          <w:szCs w:val="24"/>
        </w:rPr>
        <w:t>Д</w:t>
      </w:r>
      <w:r w:rsidRPr="000A07EE">
        <w:rPr>
          <w:rFonts w:ascii="Times New Roman" w:hAnsi="Times New Roman" w:cs="Times New Roman"/>
          <w:i/>
          <w:color w:val="000000"/>
          <w:sz w:val="24"/>
          <w:szCs w:val="24"/>
        </w:rPr>
        <w:t xml:space="preserve"> = Р</w:t>
      </w:r>
      <w:r w:rsidRPr="000A07EE">
        <w:rPr>
          <w:rFonts w:ascii="Times New Roman" w:hAnsi="Times New Roman" w:cs="Times New Roman"/>
          <w:i/>
          <w:color w:val="000000"/>
          <w:sz w:val="24"/>
          <w:szCs w:val="24"/>
          <w:vertAlign w:val="subscript"/>
        </w:rPr>
        <w:t>акт</w:t>
      </w:r>
      <w:r w:rsidRPr="000A07EE">
        <w:rPr>
          <w:rFonts w:ascii="Times New Roman" w:hAnsi="Times New Roman" w:cs="Times New Roman"/>
          <w:i/>
          <w:color w:val="000000"/>
          <w:sz w:val="24"/>
          <w:szCs w:val="24"/>
        </w:rPr>
        <w:t xml:space="preserve"> – П</w:t>
      </w:r>
      <w:r w:rsidRPr="000A07EE">
        <w:rPr>
          <w:rFonts w:ascii="Times New Roman" w:hAnsi="Times New Roman" w:cs="Times New Roman"/>
          <w:i/>
          <w:color w:val="000000"/>
          <w:sz w:val="24"/>
          <w:szCs w:val="24"/>
          <w:vertAlign w:val="subscript"/>
        </w:rPr>
        <w:t>кр</w:t>
      </w:r>
      <w:r w:rsidRPr="000A07EE">
        <w:rPr>
          <w:rFonts w:ascii="Times New Roman" w:hAnsi="Times New Roman" w:cs="Times New Roman"/>
          <w:color w:val="000000"/>
          <w:sz w:val="24"/>
          <w:szCs w:val="24"/>
        </w:rPr>
        <w:t>) &gt; 0 і позитивному значенні «плеча важеля» (</w:t>
      </w:r>
      <w:r w:rsidRPr="000A07EE">
        <w:rPr>
          <w:rFonts w:ascii="Times New Roman" w:hAnsi="Times New Roman" w:cs="Times New Roman"/>
          <w:iCs/>
          <w:color w:val="000000"/>
          <w:sz w:val="24"/>
          <w:szCs w:val="24"/>
        </w:rPr>
        <w:t>ФВ = К</w:t>
      </w:r>
      <w:r w:rsidRPr="000A07EE">
        <w:rPr>
          <w:rFonts w:ascii="Times New Roman" w:hAnsi="Times New Roman" w:cs="Times New Roman"/>
          <w:iCs/>
          <w:color w:val="000000"/>
          <w:sz w:val="24"/>
          <w:szCs w:val="24"/>
          <w:vertAlign w:val="subscript"/>
        </w:rPr>
        <w:t>поз</w:t>
      </w:r>
      <w:r w:rsidRPr="000A07EE">
        <w:rPr>
          <w:rFonts w:ascii="Times New Roman" w:hAnsi="Times New Roman" w:cs="Times New Roman"/>
          <w:iCs/>
          <w:color w:val="000000"/>
          <w:sz w:val="24"/>
          <w:szCs w:val="24"/>
        </w:rPr>
        <w:t xml:space="preserve"> / К</w:t>
      </w:r>
      <w:r w:rsidRPr="000A07EE">
        <w:rPr>
          <w:rFonts w:ascii="Times New Roman" w:hAnsi="Times New Roman" w:cs="Times New Roman"/>
          <w:iCs/>
          <w:color w:val="000000"/>
          <w:sz w:val="24"/>
          <w:szCs w:val="24"/>
          <w:vertAlign w:val="subscript"/>
        </w:rPr>
        <w:t>вл</w:t>
      </w:r>
      <w:r w:rsidRPr="000A07EE">
        <w:rPr>
          <w:rFonts w:ascii="Times New Roman" w:hAnsi="Times New Roman" w:cs="Times New Roman"/>
          <w:color w:val="000000"/>
          <w:sz w:val="24"/>
          <w:szCs w:val="24"/>
        </w:rPr>
        <w:t xml:space="preserve">) &gt; 0 рентабельність власних коштів підприємства більша від економічної рентабельності активів </w:t>
      </w:r>
      <w:r w:rsidRPr="000A07EE">
        <w:rPr>
          <w:rFonts w:ascii="Times New Roman" w:hAnsi="Times New Roman" w:cs="Times New Roman"/>
          <w:i/>
          <w:iCs/>
          <w:color w:val="000000"/>
          <w:sz w:val="24"/>
          <w:szCs w:val="24"/>
        </w:rPr>
        <w:t>Р</w:t>
      </w:r>
      <w:r w:rsidRPr="000A07EE">
        <w:rPr>
          <w:rFonts w:ascii="Times New Roman" w:hAnsi="Times New Roman" w:cs="Times New Roman"/>
          <w:i/>
          <w:iCs/>
          <w:color w:val="000000"/>
          <w:sz w:val="24"/>
          <w:szCs w:val="24"/>
          <w:vertAlign w:val="subscript"/>
        </w:rPr>
        <w:t>акт</w:t>
      </w:r>
      <w:r w:rsidRPr="000A07EE">
        <w:rPr>
          <w:rFonts w:ascii="Times New Roman" w:hAnsi="Times New Roman" w:cs="Times New Roman"/>
          <w:color w:val="000000"/>
          <w:sz w:val="24"/>
          <w:szCs w:val="24"/>
        </w:rPr>
        <w:t xml:space="preserve"> (</w:t>
      </w:r>
      <w:r w:rsidRPr="000A07EE">
        <w:rPr>
          <w:rFonts w:ascii="Times New Roman" w:hAnsi="Times New Roman" w:cs="Times New Roman"/>
          <w:i/>
          <w:iCs/>
          <w:color w:val="000000"/>
          <w:sz w:val="24"/>
          <w:szCs w:val="24"/>
        </w:rPr>
        <w:t>Р</w:t>
      </w:r>
      <w:r w:rsidRPr="000A07EE">
        <w:rPr>
          <w:rFonts w:ascii="Times New Roman" w:hAnsi="Times New Roman" w:cs="Times New Roman"/>
          <w:i/>
          <w:iCs/>
          <w:color w:val="000000"/>
          <w:sz w:val="24"/>
          <w:szCs w:val="24"/>
          <w:vertAlign w:val="subscript"/>
        </w:rPr>
        <w:t xml:space="preserve">вк </w:t>
      </w:r>
      <w:r w:rsidRPr="000A07EE">
        <w:rPr>
          <w:rFonts w:ascii="Times New Roman" w:hAnsi="Times New Roman" w:cs="Times New Roman"/>
          <w:i/>
          <w:iCs/>
          <w:color w:val="000000"/>
          <w:sz w:val="24"/>
          <w:szCs w:val="24"/>
        </w:rPr>
        <w:t>&gt; Р</w:t>
      </w:r>
      <w:r w:rsidRPr="000A07EE">
        <w:rPr>
          <w:rFonts w:ascii="Times New Roman" w:hAnsi="Times New Roman" w:cs="Times New Roman"/>
          <w:i/>
          <w:iCs/>
          <w:color w:val="000000"/>
          <w:sz w:val="24"/>
          <w:szCs w:val="24"/>
          <w:vertAlign w:val="subscript"/>
        </w:rPr>
        <w:t>акт</w:t>
      </w:r>
      <w:r w:rsidRPr="000A07EE">
        <w:rPr>
          <w:rFonts w:ascii="Times New Roman" w:hAnsi="Times New Roman" w:cs="Times New Roman"/>
          <w:color w:val="000000"/>
          <w:sz w:val="24"/>
          <w:szCs w:val="24"/>
        </w:rPr>
        <w:t>).</w:t>
      </w:r>
    </w:p>
    <w:p w:rsidR="000A07EE" w:rsidRPr="000A07EE" w:rsidRDefault="000A07EE" w:rsidP="000A07EE">
      <w:pPr>
        <w:tabs>
          <w:tab w:val="left" w:pos="1440"/>
        </w:tabs>
        <w:suppressAutoHyphens/>
        <w:spacing w:after="0" w:line="264" w:lineRule="auto"/>
        <w:ind w:firstLine="567"/>
        <w:jc w:val="both"/>
        <w:rPr>
          <w:rFonts w:ascii="Times New Roman" w:hAnsi="Times New Roman" w:cs="Times New Roman"/>
          <w:color w:val="000000"/>
          <w:sz w:val="24"/>
          <w:szCs w:val="24"/>
        </w:rPr>
      </w:pPr>
      <w:r w:rsidRPr="000A07EE">
        <w:rPr>
          <w:rFonts w:ascii="Times New Roman" w:hAnsi="Times New Roman" w:cs="Times New Roman"/>
          <w:color w:val="000000"/>
          <w:sz w:val="24"/>
          <w:szCs w:val="24"/>
        </w:rPr>
        <w:t>Проведені нами дослідження показують, що для підприємств з вищим науково-технічним рівнем виробництва зазвичай спостерігаємо вищу економічну рентабельність і, отже, більший «диференціал важеля» при використанні позикових коштів. Банки та індивідуальні інвестори охочіше надають середньо- і довгострокові кредити таким підприємствам, тому «ефект важеля» у них може бути вищим завдяки вищій частці позикових коштів у капіталі, що спрямовується на реалізацію інвестиційного проекту, тобто завдяки більшому «плечу важеля». Справедливим є також і висновок про те, що ефект фінансового важеля виникає тільки тоді, коли значення диференціала додатне. В іншому разі використання позикового капіталу, наприклад, для фінансування інноваційної діяльності підприємства, є збитковим.</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Виходячи з вищевикладеного можна аналітично сформулювати модель, яка визначає силу комерційних можливостей інтелектуальних технологій, що перебувають у розпорядженні підприємства (</w:t>
      </w:r>
      <w:r w:rsidRPr="000A07EE">
        <w:rPr>
          <w:rStyle w:val="a3"/>
          <w:b w:val="0"/>
          <w:bCs w:val="0"/>
          <w:i/>
          <w:iCs/>
          <w:color w:val="000000"/>
          <w:lang w:val="uk-UA"/>
        </w:rPr>
        <w:t>РКП</w:t>
      </w:r>
      <w:r w:rsidRPr="000A07EE">
        <w:rPr>
          <w:rStyle w:val="a3"/>
          <w:b w:val="0"/>
          <w:bCs w:val="0"/>
          <w:iCs/>
          <w:color w:val="000000"/>
          <w:lang w:val="uk-UA"/>
        </w:rPr>
        <w:t>)</w: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iCs/>
          <w:color w:val="000000"/>
          <w:lang w:val="uk-UA"/>
        </w:rPr>
      </w:pPr>
      <w:r w:rsidRPr="000A07EE">
        <w:rPr>
          <w:iCs/>
          <w:noProof/>
          <w:color w:val="000000"/>
        </w:rPr>
        <w:pict>
          <v:rect id="_x0000_s1038" style="position:absolute;left:0;text-align:left;margin-left:336.95pt;margin-top:10pt;width:42.75pt;height:33.75pt;z-index:251672576" stroked="f">
            <v:textbox>
              <w:txbxContent>
                <w:p w:rsidR="000A07EE" w:rsidRPr="00210F67" w:rsidRDefault="000A07EE" w:rsidP="000A07EE">
                  <w:pPr>
                    <w:rPr>
                      <w:rFonts w:ascii="Times New Roman" w:hAnsi="Times New Roman"/>
                    </w:rPr>
                  </w:pPr>
                  <w:r>
                    <w:rPr>
                      <w:rFonts w:ascii="Times New Roman" w:hAnsi="Times New Roman"/>
                    </w:rPr>
                    <w:t>(1.98)</w:t>
                  </w:r>
                </w:p>
              </w:txbxContent>
            </v:textbox>
          </v:rect>
        </w:pic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center"/>
        <w:rPr>
          <w:rStyle w:val="a3"/>
          <w:b w:val="0"/>
          <w:bCs w:val="0"/>
          <w:color w:val="000000"/>
          <w:lang w:val="uk-UA"/>
        </w:rPr>
      </w:pPr>
      <w:r w:rsidRPr="000A07EE">
        <w:rPr>
          <w:rStyle w:val="a3"/>
          <w:b w:val="0"/>
          <w:bCs w:val="0"/>
          <w:iCs/>
          <w:color w:val="000000"/>
          <w:lang w:val="uk-UA"/>
        </w:rPr>
        <w:t>РКП</w:t>
      </w:r>
      <w:r w:rsidRPr="000A07EE">
        <w:rPr>
          <w:rStyle w:val="a3"/>
          <w:b w:val="0"/>
          <w:bCs w:val="0"/>
          <w:color w:val="000000"/>
          <w:lang w:val="uk-UA"/>
        </w:rPr>
        <w:t xml:space="preserve">   =   </w:t>
      </w:r>
      <w:r w:rsidRPr="000A07EE">
        <w:rPr>
          <w:rStyle w:val="a3"/>
          <w:b w:val="0"/>
          <w:bCs w:val="0"/>
          <w:iCs/>
          <w:color w:val="000000"/>
          <w:lang w:val="uk-UA"/>
        </w:rPr>
        <w:t>F</w:t>
      </w:r>
      <w:r w:rsidRPr="000A07EE">
        <w:rPr>
          <w:rStyle w:val="a3"/>
          <w:b w:val="0"/>
          <w:bCs w:val="0"/>
          <w:color w:val="000000"/>
          <w:lang w:val="uk-UA"/>
        </w:rPr>
        <w:t xml:space="preserve"> (</w:t>
      </w:r>
      <w:r w:rsidRPr="000A07EE">
        <w:rPr>
          <w:rStyle w:val="a3"/>
          <w:b w:val="0"/>
          <w:bCs w:val="0"/>
          <w:iCs/>
          <w:color w:val="000000"/>
          <w:lang w:val="uk-UA"/>
        </w:rPr>
        <w:t>ТВ, ВР, ОВ, ВТ, ФВ</w:t>
      </w:r>
      <w:r w:rsidRPr="000A07EE">
        <w:rPr>
          <w:rStyle w:val="a3"/>
          <w:b w:val="0"/>
          <w:bCs w:val="0"/>
          <w:color w:val="000000"/>
          <w:lang w:val="uk-UA"/>
        </w:rPr>
        <w:t>),</w:t>
      </w:r>
    </w:p>
    <w:tbl>
      <w:tblPr>
        <w:tblW w:w="6948" w:type="dxa"/>
        <w:jc w:val="center"/>
        <w:tblLook w:val="01E0"/>
      </w:tblPr>
      <w:tblGrid>
        <w:gridCol w:w="4608"/>
        <w:gridCol w:w="2340"/>
      </w:tblGrid>
      <w:tr w:rsidR="000A07EE" w:rsidRPr="000A07EE" w:rsidTr="00437F68">
        <w:trPr>
          <w:jc w:val="center"/>
        </w:trPr>
        <w:tc>
          <w:tcPr>
            <w:tcW w:w="4608" w:type="dxa"/>
            <w:vMerge w:val="restart"/>
            <w:tcBorders>
              <w:righ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                        за таких обмежень:</w:t>
            </w:r>
          </w:p>
        </w:tc>
        <w:tc>
          <w:tcPr>
            <w:tcW w:w="2340" w:type="dxa"/>
            <w:tcBorders>
              <w:lef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iCs/>
                <w:color w:val="000000"/>
                <w:lang w:val="uk-UA"/>
              </w:rPr>
              <w:t>ТВ   &gt;   2</w:t>
            </w:r>
            <w:r w:rsidRPr="000A07EE">
              <w:rPr>
                <w:rStyle w:val="a3"/>
                <w:b w:val="0"/>
                <w:bCs w:val="0"/>
                <w:color w:val="000000"/>
                <w:lang w:val="uk-UA"/>
              </w:rPr>
              <w:t>;</w:t>
            </w:r>
          </w:p>
        </w:tc>
      </w:tr>
      <w:tr w:rsidR="000A07EE" w:rsidRPr="000A07EE" w:rsidTr="00437F68">
        <w:trPr>
          <w:jc w:val="center"/>
        </w:trPr>
        <w:tc>
          <w:tcPr>
            <w:tcW w:w="4608" w:type="dxa"/>
            <w:vMerge/>
            <w:tcBorders>
              <w:righ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tc>
        <w:tc>
          <w:tcPr>
            <w:tcW w:w="2340" w:type="dxa"/>
            <w:tcBorders>
              <w:lef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iCs/>
                <w:color w:val="000000"/>
                <w:lang w:val="uk-UA"/>
              </w:rPr>
              <w:t>ВР   &gt;   1</w:t>
            </w:r>
            <w:r w:rsidRPr="000A07EE">
              <w:rPr>
                <w:rStyle w:val="a3"/>
                <w:b w:val="0"/>
                <w:bCs w:val="0"/>
                <w:color w:val="000000"/>
                <w:lang w:val="uk-UA"/>
              </w:rPr>
              <w:t>;</w:t>
            </w:r>
          </w:p>
        </w:tc>
      </w:tr>
      <w:tr w:rsidR="000A07EE" w:rsidRPr="000A07EE" w:rsidTr="00437F68">
        <w:trPr>
          <w:jc w:val="center"/>
        </w:trPr>
        <w:tc>
          <w:tcPr>
            <w:tcW w:w="4608" w:type="dxa"/>
            <w:vMerge/>
            <w:tcBorders>
              <w:righ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tc>
        <w:tc>
          <w:tcPr>
            <w:tcW w:w="2340" w:type="dxa"/>
            <w:tcBorders>
              <w:lef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iCs/>
                <w:color w:val="000000"/>
                <w:lang w:val="uk-UA"/>
              </w:rPr>
              <w:t>ОВ   &gt;   0</w:t>
            </w:r>
            <w:r w:rsidRPr="000A07EE">
              <w:rPr>
                <w:rStyle w:val="a3"/>
                <w:b w:val="0"/>
                <w:bCs w:val="0"/>
                <w:color w:val="000000"/>
                <w:lang w:val="uk-UA"/>
              </w:rPr>
              <w:t>;</w:t>
            </w:r>
          </w:p>
        </w:tc>
      </w:tr>
      <w:tr w:rsidR="000A07EE" w:rsidRPr="000A07EE" w:rsidTr="00437F68">
        <w:trPr>
          <w:jc w:val="center"/>
        </w:trPr>
        <w:tc>
          <w:tcPr>
            <w:tcW w:w="4608" w:type="dxa"/>
            <w:vMerge/>
            <w:tcBorders>
              <w:righ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tc>
        <w:tc>
          <w:tcPr>
            <w:tcW w:w="2340" w:type="dxa"/>
            <w:tcBorders>
              <w:lef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iCs/>
                <w:color w:val="000000"/>
                <w:lang w:val="uk-UA"/>
              </w:rPr>
              <w:t>ВТ   &gt;   0</w:t>
            </w:r>
            <w:r w:rsidRPr="000A07EE">
              <w:rPr>
                <w:rStyle w:val="a3"/>
                <w:b w:val="0"/>
                <w:bCs w:val="0"/>
                <w:color w:val="000000"/>
                <w:lang w:val="uk-UA"/>
              </w:rPr>
              <w:t>;</w:t>
            </w:r>
          </w:p>
        </w:tc>
      </w:tr>
      <w:tr w:rsidR="000A07EE" w:rsidRPr="000A07EE" w:rsidTr="00437F68">
        <w:trPr>
          <w:jc w:val="center"/>
        </w:trPr>
        <w:tc>
          <w:tcPr>
            <w:tcW w:w="4608" w:type="dxa"/>
            <w:vMerge/>
            <w:tcBorders>
              <w:righ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tc>
        <w:tc>
          <w:tcPr>
            <w:tcW w:w="2340" w:type="dxa"/>
            <w:tcBorders>
              <w:lef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iCs/>
                <w:color w:val="000000"/>
                <w:lang w:val="uk-UA"/>
              </w:rPr>
            </w:pPr>
            <w:r w:rsidRPr="000A07EE">
              <w:rPr>
                <w:rStyle w:val="a3"/>
                <w:b w:val="0"/>
                <w:bCs w:val="0"/>
                <w:iCs/>
                <w:color w:val="000000"/>
                <w:lang w:val="uk-UA"/>
              </w:rPr>
              <w:t>ФВ   &gt;   1.</w:t>
            </w:r>
          </w:p>
        </w:tc>
      </w:tr>
    </w:tbl>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Доцільність включення важеля розробника (творця) </w:t>
      </w:r>
      <w:r w:rsidRPr="000A07EE">
        <w:rPr>
          <w:rStyle w:val="a3"/>
          <w:b w:val="0"/>
          <w:bCs w:val="0"/>
          <w:iCs/>
          <w:color w:val="000000"/>
          <w:lang w:val="uk-UA"/>
        </w:rPr>
        <w:t>ВТ</w:t>
      </w:r>
      <w:r w:rsidRPr="000A07EE">
        <w:rPr>
          <w:rStyle w:val="a3"/>
          <w:b w:val="0"/>
          <w:bCs w:val="0"/>
          <w:color w:val="000000"/>
          <w:lang w:val="uk-UA"/>
        </w:rPr>
        <w:t xml:space="preserve"> у модель (1.98) при дотриманні умови </w:t>
      </w:r>
      <w:r w:rsidRPr="000A07EE">
        <w:rPr>
          <w:rStyle w:val="a3"/>
          <w:b w:val="0"/>
          <w:bCs w:val="0"/>
          <w:i/>
          <w:iCs/>
          <w:color w:val="000000"/>
          <w:lang w:val="uk-UA"/>
        </w:rPr>
        <w:t>ВТ</w:t>
      </w:r>
      <w:r w:rsidRPr="000A07EE">
        <w:rPr>
          <w:rStyle w:val="a3"/>
          <w:b w:val="0"/>
          <w:bCs w:val="0"/>
          <w:color w:val="000000"/>
          <w:lang w:val="uk-UA"/>
        </w:rPr>
        <w:t xml:space="preserve"> &gt; 0 пояснюється тим, що при її недотриманні, тобто якщо витрати </w:t>
      </w:r>
      <w:r w:rsidRPr="000A07EE">
        <w:rPr>
          <w:rStyle w:val="a3"/>
          <w:b w:val="0"/>
          <w:bCs w:val="0"/>
          <w:color w:val="000000"/>
          <w:lang w:val="uk-UA"/>
        </w:rPr>
        <w:lastRenderedPageBreak/>
        <w:t xml:space="preserve">на створення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перевищують ефект, надходження до бюджету підприємства від неї, подальші розробки в даному напрямі безперспективні через слабку наукову та технологічну цінність або економічно неможливі через труднощі в пошуку сфер застосування та прийнятних умов технологічного трансферу.</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Аналіз моделі (1.98) дозволяє дійти таких висновків:</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а) вирішальний внесок у формування </w:t>
      </w:r>
      <w:r w:rsidRPr="000A07EE">
        <w:rPr>
          <w:rStyle w:val="a3"/>
          <w:b w:val="0"/>
          <w:bCs w:val="0"/>
          <w:i/>
          <w:iCs/>
          <w:color w:val="000000"/>
          <w:lang w:val="uk-UA"/>
        </w:rPr>
        <w:t>РКП</w:t>
      </w:r>
      <w:r w:rsidRPr="000A07EE">
        <w:rPr>
          <w:rStyle w:val="a3"/>
          <w:b w:val="0"/>
          <w:bCs w:val="0"/>
          <w:color w:val="000000"/>
          <w:lang w:val="uk-UA"/>
        </w:rPr>
        <w:t xml:space="preserve"> вносить технологічний важіль </w:t>
      </w:r>
      <w:r w:rsidRPr="000A07EE">
        <w:rPr>
          <w:rStyle w:val="a3"/>
          <w:b w:val="0"/>
          <w:bCs w:val="0"/>
          <w:i/>
          <w:iCs/>
          <w:color w:val="000000"/>
          <w:lang w:val="uk-UA"/>
        </w:rPr>
        <w:t>ТВ</w:t>
      </w:r>
      <w:r w:rsidRPr="000A07EE">
        <w:rPr>
          <w:rStyle w:val="a3"/>
          <w:b w:val="0"/>
          <w:bCs w:val="0"/>
          <w:color w:val="000000"/>
          <w:lang w:val="uk-UA"/>
        </w:rPr>
        <w:t xml:space="preserve">, тобто пряма роль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який є базою для створення нових при удосконалення наявних інтелектуально-інноваційних продуктів і технологій. Однак такий висновок може бути правомірним лише тоді, коли розробник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припускає тільки самостійне використання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В іншому випадку, коли розробник зі своїм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вклинюється в процеси технологічного трансферу, виникають об'єктивні ситуації, коли самостійне створення або вдосконалення інтелектуально-інноваційних продуктів і технологій на основі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неможливе (при повному передаванні прав покупцеві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або економічно недоцільне (при частковому передаванні прав покупцеві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або другорядне порівняно з доходами від його трансферу (при повному передаванні прав покупцеві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В останньому випадку роль </w:t>
      </w:r>
      <w:r w:rsidRPr="000A07EE">
        <w:rPr>
          <w:rStyle w:val="a3"/>
          <w:b w:val="0"/>
          <w:bCs w:val="0"/>
          <w:i/>
          <w:iCs/>
          <w:color w:val="000000"/>
          <w:lang w:val="uk-UA"/>
        </w:rPr>
        <w:t>ВТ</w:t>
      </w:r>
      <w:r w:rsidRPr="000A07EE">
        <w:rPr>
          <w:rStyle w:val="a3"/>
          <w:b w:val="0"/>
          <w:bCs w:val="0"/>
          <w:color w:val="000000"/>
          <w:lang w:val="uk-UA"/>
        </w:rPr>
        <w:t xml:space="preserve"> у формуванні сумарної сили технологічного важеля</w:t>
      </w:r>
      <w:r w:rsidRPr="000A07EE">
        <w:rPr>
          <w:rStyle w:val="a3"/>
          <w:b w:val="0"/>
          <w:bCs w:val="0"/>
          <w:iCs/>
          <w:color w:val="000000"/>
          <w:lang w:val="uk-UA"/>
        </w:rPr>
        <w:t xml:space="preserve"> </w:t>
      </w:r>
      <w:r w:rsidRPr="000A07EE">
        <w:rPr>
          <w:rStyle w:val="a3"/>
          <w:b w:val="0"/>
          <w:bCs w:val="0"/>
          <w:i/>
          <w:iCs/>
          <w:color w:val="000000"/>
          <w:lang w:val="uk-UA"/>
        </w:rPr>
        <w:t>РКП</w:t>
      </w:r>
      <w:r w:rsidRPr="000A07EE">
        <w:rPr>
          <w:rStyle w:val="a3"/>
          <w:b w:val="0"/>
          <w:bCs w:val="0"/>
          <w:color w:val="000000"/>
          <w:lang w:val="uk-UA"/>
        </w:rPr>
        <w:t xml:space="preserve"> істотно знижується;</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б) роль і значення важелів </w:t>
      </w:r>
      <w:r w:rsidRPr="000A07EE">
        <w:rPr>
          <w:rStyle w:val="a3"/>
          <w:b w:val="0"/>
          <w:bCs w:val="0"/>
          <w:i/>
          <w:iCs/>
          <w:color w:val="000000"/>
          <w:lang w:val="uk-UA"/>
        </w:rPr>
        <w:t>ВР</w:t>
      </w:r>
      <w:r w:rsidRPr="000A07EE">
        <w:rPr>
          <w:rStyle w:val="a3"/>
          <w:b w:val="0"/>
          <w:bCs w:val="0"/>
          <w:color w:val="000000"/>
          <w:lang w:val="uk-UA"/>
        </w:rPr>
        <w:t xml:space="preserve"> і </w:t>
      </w:r>
      <w:r w:rsidRPr="000A07EE">
        <w:rPr>
          <w:rStyle w:val="a3"/>
          <w:b w:val="0"/>
          <w:bCs w:val="0"/>
          <w:i/>
          <w:iCs/>
          <w:color w:val="000000"/>
          <w:lang w:val="uk-UA"/>
        </w:rPr>
        <w:t>ОВ</w:t>
      </w:r>
      <w:r w:rsidRPr="000A07EE">
        <w:rPr>
          <w:rStyle w:val="a3"/>
          <w:b w:val="0"/>
          <w:bCs w:val="0"/>
          <w:color w:val="000000"/>
          <w:lang w:val="uk-UA"/>
        </w:rPr>
        <w:t xml:space="preserve">, на наш погляд, принципово різна на різних етапах життєвого циклу як самого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так і створеної на його основі інноваційної продукції. На ранніх стадіях життєвого циклу вони можуть досить відчутно впливати на формування </w:t>
      </w:r>
      <w:r w:rsidRPr="000A07EE">
        <w:rPr>
          <w:rStyle w:val="a3"/>
          <w:b w:val="0"/>
          <w:bCs w:val="0"/>
          <w:i/>
          <w:iCs/>
          <w:color w:val="000000"/>
          <w:lang w:val="uk-UA"/>
        </w:rPr>
        <w:t>РКП</w:t>
      </w:r>
      <w:r w:rsidRPr="000A07EE">
        <w:rPr>
          <w:rStyle w:val="a3"/>
          <w:b w:val="0"/>
          <w:bCs w:val="0"/>
          <w:color w:val="000000"/>
          <w:lang w:val="uk-UA"/>
        </w:rPr>
        <w:t xml:space="preserve">, однак на середніх і особливо на заключних стадіях життєвого циклу їх роль може бути зведена до нейтрального або навіть негативного впливу (тобто спрямованого на зниження сумарної сили технологічного важеля </w:t>
      </w:r>
      <w:r w:rsidRPr="000A07EE">
        <w:rPr>
          <w:rStyle w:val="a3"/>
          <w:b w:val="0"/>
          <w:bCs w:val="0"/>
          <w:i/>
          <w:iCs/>
          <w:color w:val="000000"/>
          <w:lang w:val="uk-UA"/>
        </w:rPr>
        <w:t>РКП</w: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в) роль фінансового важеля </w:t>
      </w:r>
      <w:r w:rsidRPr="000A07EE">
        <w:rPr>
          <w:rStyle w:val="a3"/>
          <w:b w:val="0"/>
          <w:bCs w:val="0"/>
          <w:i/>
          <w:iCs/>
          <w:color w:val="000000"/>
          <w:lang w:val="uk-UA"/>
        </w:rPr>
        <w:t>ФВ</w:t>
      </w:r>
      <w:r w:rsidRPr="000A07EE">
        <w:rPr>
          <w:rStyle w:val="a3"/>
          <w:b w:val="0"/>
          <w:bCs w:val="0"/>
          <w:color w:val="000000"/>
          <w:lang w:val="uk-UA"/>
        </w:rPr>
        <w:t xml:space="preserve"> має істотне значення при відносній фінансовій слабкості розробника і відсутності можливостей повного фінансування інтелектуально-технологічних розробок (процесів створення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У цьому випадку виникає потреба в позиковому капіталі і, як наслідок, ефект фінансового важеля;</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в) найважливіша роль у формуванні </w:t>
      </w:r>
      <w:r w:rsidRPr="000A07EE">
        <w:rPr>
          <w:rStyle w:val="a3"/>
          <w:b w:val="0"/>
          <w:bCs w:val="0"/>
          <w:i/>
          <w:iCs/>
          <w:color w:val="000000"/>
          <w:lang w:val="uk-UA"/>
        </w:rPr>
        <w:t>РКП</w:t>
      </w:r>
      <w:r w:rsidRPr="000A07EE">
        <w:rPr>
          <w:rStyle w:val="a3"/>
          <w:b w:val="0"/>
          <w:bCs w:val="0"/>
          <w:color w:val="000000"/>
          <w:lang w:val="uk-UA"/>
        </w:rPr>
        <w:t xml:space="preserve"> належить також </w:t>
      </w:r>
      <w:r w:rsidRPr="000A07EE">
        <w:rPr>
          <w:rStyle w:val="a3"/>
          <w:b w:val="0"/>
          <w:bCs w:val="0"/>
          <w:i/>
          <w:iCs/>
          <w:color w:val="000000"/>
          <w:lang w:val="uk-UA"/>
        </w:rPr>
        <w:t>ВТ</w:t>
      </w:r>
      <w:r w:rsidRPr="000A07EE">
        <w:rPr>
          <w:rStyle w:val="a3"/>
          <w:b w:val="0"/>
          <w:bCs w:val="0"/>
          <w:color w:val="000000"/>
          <w:lang w:val="uk-UA"/>
        </w:rPr>
        <w:t xml:space="preserve"> − важелю розробника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особливо при проведенні ним трансферних операцій з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Це пояснюється тим, що після закінчення певного періоду (здійснення першої трансферної операції з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розробник повинен вносити зміни до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для задоволення потреб конкретних споживачів, з якими будуть доцільні друга та наступні трансферні операції. Важливою умовою сили важеля розробника </w:t>
      </w:r>
      <w:r w:rsidRPr="000A07EE">
        <w:rPr>
          <w:rStyle w:val="a3"/>
          <w:b w:val="0"/>
          <w:bCs w:val="0"/>
          <w:i/>
          <w:iCs/>
          <w:color w:val="000000"/>
          <w:lang w:val="uk-UA"/>
        </w:rPr>
        <w:t>ВТ</w:t>
      </w:r>
      <w:r w:rsidRPr="000A07EE">
        <w:rPr>
          <w:rStyle w:val="a3"/>
          <w:b w:val="0"/>
          <w:bCs w:val="0"/>
          <w:color w:val="000000"/>
          <w:lang w:val="uk-UA"/>
        </w:rPr>
        <w:t xml:space="preserve"> (виконання умови </w:t>
      </w:r>
      <w:r w:rsidRPr="000A07EE">
        <w:rPr>
          <w:rStyle w:val="a3"/>
          <w:b w:val="0"/>
          <w:bCs w:val="0"/>
          <w:i/>
          <w:iCs/>
          <w:color w:val="000000"/>
          <w:lang w:val="uk-UA"/>
        </w:rPr>
        <w:t>ВТ</w:t>
      </w:r>
      <w:r w:rsidRPr="000A07EE">
        <w:rPr>
          <w:rStyle w:val="a3"/>
          <w:b w:val="0"/>
          <w:bCs w:val="0"/>
          <w:iCs/>
          <w:color w:val="000000"/>
          <w:lang w:val="uk-UA"/>
        </w:rPr>
        <w:t xml:space="preserve"> &gt; 0</w:t>
      </w:r>
      <w:r w:rsidRPr="000A07EE">
        <w:rPr>
          <w:rStyle w:val="a3"/>
          <w:b w:val="0"/>
          <w:bCs w:val="0"/>
          <w:color w:val="000000"/>
          <w:lang w:val="uk-UA"/>
        </w:rPr>
        <w:t xml:space="preserve">) є ефективний внутрішній інформаційний трансфер, дбайливе ставлення до кадрового й інтелектуального потенціалу на підприємстві, постійний моніторинг можливостей використання здобутих знань при створенні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для розробки інших технологічних продуктів на його основі. Інтелектуальний капітал має унікальну властивість зростання у процесі його використання, тому пізніші технологічні розробки на основі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можуть давати все більшу й більшу економію витрат на НДДКР та інших стартових витратах. У підсумку зростає вартість матеріальних активів, яку можна визначити кількісно в грошовому вираженні, і поліпшується показник прибутковості інвестицій. Очевидно, також збільшується і невидима вартість нематеріальних активів, у даному разі нерозривно пов'язаних із матеріальними активами, задіяними в реалізації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[8, с.187].</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Слід зазначити, що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і всі інші інтелектуально-технологічні продукти, створені на його основі або з його застосуванням, можна об'єднати в деяку інтелектуально-технологічну множину, яка на певних етапах дослідження, аналізу та моніторингу може виступати як до певної міри самостійне формування, що дозволяє оцінити, з одного боку, </w:t>
      </w:r>
      <w:r w:rsidRPr="000A07EE">
        <w:rPr>
          <w:rStyle w:val="a3"/>
          <w:b w:val="0"/>
          <w:bCs w:val="0"/>
          <w:color w:val="000000"/>
          <w:lang w:val="uk-UA"/>
        </w:rPr>
        <w:lastRenderedPageBreak/>
        <w:t xml:space="preserve">комерційний потенціал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а з другого − ефективність як його використання, так і вкладених у його розробку інвестицій.</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Додатнене значення сили технологічного важеля творця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говорить про те, що розробка впливає на процеси формування операційного прибутку підприємства. У цьому зв'язку, за аналогією з моделлю операційного левереджу, величину </w:t>
      </w:r>
      <w:r w:rsidRPr="000A07EE">
        <w:rPr>
          <w:rStyle w:val="a3"/>
          <w:b w:val="0"/>
          <w:bCs w:val="0"/>
          <w:i/>
          <w:iCs/>
          <w:color w:val="000000"/>
          <w:lang w:val="uk-UA"/>
        </w:rPr>
        <w:t>РКП</w:t>
      </w:r>
      <w:r w:rsidRPr="000A07EE">
        <w:rPr>
          <w:rStyle w:val="a3"/>
          <w:b w:val="0"/>
          <w:bCs w:val="0"/>
          <w:color w:val="000000"/>
          <w:lang w:val="uk-UA"/>
        </w:rPr>
        <w:t xml:space="preserve"> можна виразити як відношення приросту валового прибутку без виплати податків і відсотків − Earnings Before Interest and Tax (</w:t>
      </w:r>
      <w:r w:rsidRPr="000A07EE">
        <w:rPr>
          <w:rStyle w:val="a3"/>
          <w:b w:val="0"/>
          <w:bCs w:val="0"/>
          <w:i/>
          <w:iCs/>
          <w:color w:val="000000"/>
          <w:lang w:val="uk-UA"/>
        </w:rPr>
        <w:t>EBIT</w:t>
      </w:r>
      <w:r w:rsidRPr="000A07EE">
        <w:rPr>
          <w:rStyle w:val="a3"/>
          <w:b w:val="0"/>
          <w:bCs w:val="0"/>
          <w:color w:val="000000"/>
          <w:lang w:val="uk-UA"/>
        </w:rPr>
        <w:t xml:space="preserve">) підприємства за рахунок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до збільшення обсягу сумарних витрат підприємства (обсягу продажів, собівартості річного випуску продукції), яке відбулося також завдяки </w:t>
      </w:r>
      <w:r w:rsidRPr="000A07EE">
        <w:rPr>
          <w:i/>
          <w:iCs/>
          <w:color w:val="000000"/>
          <w:lang w:val="uk-UA"/>
        </w:rPr>
        <w:t>ОІВ</w:t>
      </w:r>
      <w:r w:rsidRPr="000A07EE">
        <w:rPr>
          <w:i/>
          <w:iCs/>
          <w:color w:val="000000"/>
          <w:vertAlign w:val="subscript"/>
          <w:lang w:val="uk-UA"/>
        </w:rPr>
        <w:t xml:space="preserve">баз </w:t>
      </w:r>
      <w:r w:rsidRPr="000A07EE">
        <w:rPr>
          <w:iCs/>
          <w:color w:val="000000"/>
          <w:lang w:val="uk-UA"/>
        </w:rPr>
        <w:t xml:space="preserve"> </w:t>
      </w:r>
      <w:r w:rsidRPr="000A07EE">
        <w:rPr>
          <w:rStyle w:val="a3"/>
          <w:b w:val="0"/>
          <w:bCs w:val="0"/>
          <w:color w:val="000000"/>
          <w:lang w:val="uk-UA"/>
        </w:rPr>
        <w:t xml:space="preserve">за умови </w:t>
      </w:r>
      <w:r w:rsidRPr="000A07EE">
        <w:rPr>
          <w:rStyle w:val="a3"/>
          <w:b w:val="0"/>
          <w:bCs w:val="0"/>
          <w:i/>
          <w:iCs/>
          <w:color w:val="000000"/>
          <w:lang w:val="uk-UA"/>
        </w:rPr>
        <w:t>R  &gt;  S</w:t>
      </w:r>
      <w:r w:rsidRPr="000A07EE">
        <w:rPr>
          <w:rStyle w:val="a3"/>
          <w:b w:val="0"/>
          <w:bCs w:val="0"/>
          <w:iCs/>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center"/>
        <w:rPr>
          <w:rStyle w:val="a3"/>
          <w:b w:val="0"/>
          <w:bCs w:val="0"/>
          <w:color w:val="000000"/>
          <w:lang w:val="uk-UA"/>
        </w:rPr>
      </w:pPr>
      <w:r w:rsidRPr="000A07EE">
        <w:rPr>
          <w:noProof/>
          <w:color w:val="000000"/>
        </w:rPr>
        <w:pict>
          <v:rect id="_x0000_s1039" style="position:absolute;left:0;text-align:left;margin-left:411.55pt;margin-top:11.1pt;width:42pt;height:29.25pt;z-index:251673600" stroked="f">
            <v:textbox>
              <w:txbxContent>
                <w:p w:rsidR="000A07EE" w:rsidRPr="001C02FE" w:rsidRDefault="000A07EE" w:rsidP="000A07EE">
                  <w:pPr>
                    <w:rPr>
                      <w:rFonts w:ascii="Times New Roman" w:hAnsi="Times New Roman"/>
                    </w:rPr>
                  </w:pPr>
                  <w:r>
                    <w:rPr>
                      <w:rFonts w:ascii="Times New Roman" w:hAnsi="Times New Roman"/>
                    </w:rPr>
                    <w:t>(1.99)</w:t>
                  </w:r>
                </w:p>
              </w:txbxContent>
            </v:textbox>
          </v:rect>
        </w:pict>
      </w:r>
      <w:r w:rsidRPr="000A07EE">
        <w:rPr>
          <w:color w:val="000000"/>
          <w:lang w:val="uk-UA"/>
        </w:rPr>
        <w:object w:dxaOrig="5580" w:dyaOrig="1320">
          <v:shape id="_x0000_i1040" type="#_x0000_t75" style="width:276.4pt;height:57.1pt" o:ole="">
            <v:imagedata r:id="rId37" o:title=""/>
          </v:shape>
          <o:OLEObject Type="Embed" ProgID="Equation.3" ShapeID="_x0000_i1040" DrawAspect="Content" ObjectID="_1508998399" r:id="rId38"/>
        </w:objec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jc w:val="both"/>
        <w:rPr>
          <w:rStyle w:val="a3"/>
          <w:b w:val="0"/>
          <w:bCs w:val="0"/>
          <w:color w:val="000000"/>
          <w:lang w:val="uk-UA"/>
        </w:rPr>
      </w:pPr>
      <w:r w:rsidRPr="000A07EE">
        <w:rPr>
          <w:rStyle w:val="a3"/>
          <w:b w:val="0"/>
          <w:bCs w:val="0"/>
          <w:color w:val="000000"/>
          <w:lang w:val="uk-UA"/>
        </w:rPr>
        <w:t xml:space="preserve">де </w:t>
      </w:r>
      <w:r w:rsidRPr="000A07EE">
        <w:rPr>
          <w:color w:val="000000"/>
          <w:lang w:val="uk-UA"/>
        </w:rPr>
        <w:object w:dxaOrig="1020" w:dyaOrig="300">
          <v:shape id="_x0000_i1041" type="#_x0000_t75" style="width:62.05pt;height:16.55pt" o:ole="">
            <v:imagedata r:id="rId39" o:title=""/>
          </v:shape>
          <o:OLEObject Type="Embed" ProgID="Equation.3" ShapeID="_x0000_i1041" DrawAspect="Content" ObjectID="_1508998400" r:id="rId40"/>
        </w:object>
      </w:r>
      <w:r w:rsidRPr="000A07EE">
        <w:rPr>
          <w:rStyle w:val="a3"/>
          <w:b w:val="0"/>
          <w:bCs w:val="0"/>
          <w:color w:val="000000"/>
          <w:lang w:val="uk-UA"/>
        </w:rPr>
        <w:t xml:space="preserve">− приріст валового прибутку підприємства завдяки використанню (комерціалізації, трансферу)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jc w:val="both"/>
        <w:rPr>
          <w:rStyle w:val="a3"/>
          <w:b w:val="0"/>
          <w:bCs w:val="0"/>
          <w:color w:val="000000"/>
          <w:lang w:val="uk-UA"/>
        </w:rPr>
      </w:pPr>
      <w:r w:rsidRPr="000A07EE">
        <w:rPr>
          <w:color w:val="000000"/>
          <w:lang w:val="uk-UA"/>
        </w:rPr>
        <w:t xml:space="preserve">         </w:t>
      </w:r>
      <w:r w:rsidRPr="000A07EE">
        <w:rPr>
          <w:color w:val="000000"/>
          <w:lang w:val="uk-UA"/>
        </w:rPr>
        <w:object w:dxaOrig="520" w:dyaOrig="380">
          <v:shape id="_x0000_i1042" type="#_x0000_t75" style="width:25.65pt;height:19.05pt" o:ole="">
            <v:imagedata r:id="rId41" o:title=""/>
          </v:shape>
          <o:OLEObject Type="Embed" ProgID="Equation.3" ShapeID="_x0000_i1042" DrawAspect="Content" ObjectID="_1508998401" r:id="rId42"/>
        </w:object>
      </w:r>
      <w:r w:rsidRPr="000A07EE">
        <w:rPr>
          <w:rStyle w:val="a3"/>
          <w:b w:val="0"/>
          <w:bCs w:val="0"/>
          <w:color w:val="000000"/>
          <w:lang w:val="uk-UA"/>
        </w:rPr>
        <w:t xml:space="preserve">− приріст сумарних витрат підприємства, пов'язаних із створенням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jc w:val="both"/>
        <w:rPr>
          <w:rStyle w:val="a3"/>
          <w:b w:val="0"/>
          <w:bCs w:val="0"/>
          <w:color w:val="000000"/>
          <w:lang w:val="uk-UA"/>
        </w:rPr>
      </w:pPr>
      <w:r w:rsidRPr="000A07EE">
        <w:rPr>
          <w:rStyle w:val="a3"/>
          <w:b w:val="0"/>
          <w:bCs w:val="0"/>
          <w:iCs/>
          <w:color w:val="000000"/>
          <w:lang w:val="uk-UA"/>
        </w:rPr>
        <w:t xml:space="preserve">         </w:t>
      </w:r>
      <w:r w:rsidRPr="000A07EE">
        <w:rPr>
          <w:rStyle w:val="a3"/>
          <w:b w:val="0"/>
          <w:bCs w:val="0"/>
          <w:i/>
          <w:iCs/>
          <w:color w:val="000000"/>
          <w:lang w:val="uk-UA"/>
        </w:rPr>
        <w:t>R</w:t>
      </w:r>
      <w:r w:rsidRPr="000A07EE">
        <w:rPr>
          <w:rStyle w:val="a3"/>
          <w:b w:val="0"/>
          <w:bCs w:val="0"/>
          <w:color w:val="000000"/>
          <w:lang w:val="uk-UA"/>
        </w:rPr>
        <w:t xml:space="preserve"> − загальний обсяг продуктових результатів виробничо-підприємницької діяльності;</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jc w:val="both"/>
        <w:rPr>
          <w:rStyle w:val="a3"/>
          <w:b w:val="0"/>
          <w:bCs w:val="0"/>
          <w:color w:val="000000"/>
          <w:lang w:val="uk-UA"/>
        </w:rPr>
      </w:pPr>
      <w:r w:rsidRPr="000A07EE">
        <w:rPr>
          <w:rStyle w:val="a3"/>
          <w:b w:val="0"/>
          <w:bCs w:val="0"/>
          <w:color w:val="000000"/>
          <w:lang w:val="uk-UA"/>
        </w:rPr>
        <w:t xml:space="preserve">         </w:t>
      </w:r>
      <w:r w:rsidRPr="000A07EE">
        <w:rPr>
          <w:rStyle w:val="a3"/>
          <w:b w:val="0"/>
          <w:bCs w:val="0"/>
          <w:i/>
          <w:color w:val="000000"/>
          <w:lang w:val="uk-UA"/>
        </w:rPr>
        <w:t>S</w:t>
      </w:r>
      <w:r w:rsidRPr="000A07EE">
        <w:rPr>
          <w:rStyle w:val="a3"/>
          <w:b w:val="0"/>
          <w:bCs w:val="0"/>
          <w:color w:val="000000"/>
          <w:lang w:val="uk-UA"/>
        </w:rPr>
        <w:t xml:space="preserve"> − загальний обсяг продуктових результатів виробничо-підприємницької діяльності, не пов'язаних з використанням </w:t>
      </w:r>
      <w:r w:rsidRPr="000A07EE">
        <w:rPr>
          <w:i/>
          <w:iCs/>
          <w:color w:val="000000"/>
          <w:lang w:val="uk-UA"/>
        </w:rPr>
        <w:t>ОІВ</w:t>
      </w:r>
      <w:r w:rsidRPr="000A07EE">
        <w:rPr>
          <w:i/>
          <w:iCs/>
          <w:color w:val="000000"/>
          <w:vertAlign w:val="subscript"/>
          <w:lang w:val="uk-UA"/>
        </w:rPr>
        <w:t>баз</w:t>
      </w:r>
      <w:r w:rsidRPr="000A07EE">
        <w:rPr>
          <w:rStyle w:val="a3"/>
          <w:b w:val="0"/>
          <w:bCs w:val="0"/>
          <w:i/>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На перший погляд, модель (1.98) дублює основну концепцію моделі (1.94). Проте це зовсім не так. В основі відмінності моделей (1.94) і (1.98) є дотримання нерівності </w:t>
      </w:r>
      <w:r w:rsidRPr="000A07EE">
        <w:rPr>
          <w:rStyle w:val="a3"/>
          <w:b w:val="0"/>
          <w:bCs w:val="0"/>
          <w:i/>
          <w:iCs/>
          <w:color w:val="000000"/>
          <w:lang w:val="uk-UA"/>
        </w:rPr>
        <w:t>РКП</w:t>
      </w:r>
      <w:r w:rsidRPr="000A07EE">
        <w:rPr>
          <w:rStyle w:val="a3"/>
          <w:b w:val="0"/>
          <w:bCs w:val="0"/>
          <w:iCs/>
          <w:color w:val="000000"/>
          <w:lang w:val="uk-UA"/>
        </w:rPr>
        <w:t xml:space="preserve">  &gt;  </w:t>
      </w:r>
      <w:r w:rsidRPr="000A07EE">
        <w:rPr>
          <w:rStyle w:val="a3"/>
          <w:b w:val="0"/>
          <w:bCs w:val="0"/>
          <w:i/>
          <w:iCs/>
          <w:color w:val="000000"/>
          <w:lang w:val="uk-UA"/>
        </w:rPr>
        <w:t>ВТ</w:t>
      </w:r>
      <w:r w:rsidRPr="000A07EE">
        <w:rPr>
          <w:rStyle w:val="a3"/>
          <w:b w:val="0"/>
          <w:bCs w:val="0"/>
          <w:color w:val="000000"/>
          <w:lang w:val="uk-UA"/>
        </w:rPr>
        <w:t>, тобто:</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center"/>
        <w:rPr>
          <w:rStyle w:val="a3"/>
          <w:b w:val="0"/>
          <w:bCs w:val="0"/>
          <w:color w:val="000000"/>
          <w:lang w:val="uk-UA"/>
        </w:rPr>
      </w:pPr>
      <w:r w:rsidRPr="000A07EE">
        <w:rPr>
          <w:noProof/>
          <w:color w:val="000000"/>
        </w:rPr>
        <w:pict>
          <v:rect id="_x0000_s1040" style="position:absolute;left:0;text-align:left;margin-left:411.55pt;margin-top:19.8pt;width:50pt;height:29.25pt;z-index:251674624" stroked="f">
            <v:textbox>
              <w:txbxContent>
                <w:p w:rsidR="000A07EE" w:rsidRPr="001C02FE" w:rsidRDefault="000A07EE" w:rsidP="000A07EE">
                  <w:pPr>
                    <w:rPr>
                      <w:rFonts w:ascii="Times New Roman" w:hAnsi="Times New Roman"/>
                    </w:rPr>
                  </w:pPr>
                  <w:r>
                    <w:rPr>
                      <w:rFonts w:ascii="Times New Roman" w:hAnsi="Times New Roman"/>
                    </w:rPr>
                    <w:t>(1.100)</w:t>
                  </w:r>
                </w:p>
              </w:txbxContent>
            </v:textbox>
          </v:rect>
        </w:pict>
      </w:r>
      <w:r w:rsidRPr="000A07EE">
        <w:rPr>
          <w:color w:val="000000"/>
          <w:lang w:val="uk-UA"/>
        </w:rPr>
        <w:object w:dxaOrig="5220" w:dyaOrig="1440">
          <v:shape id="_x0000_i1043" type="#_x0000_t75" style="width:286.35pt;height:65.4pt" o:ole="">
            <v:imagedata r:id="rId43" o:title=""/>
          </v:shape>
          <o:OLEObject Type="Embed" ProgID="Equation.3" ShapeID="_x0000_i1043" DrawAspect="Content" ObjectID="_1508998402" r:id="rId44"/>
        </w:objec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Ми допускаємо окремий випадкок, коли </w:t>
      </w:r>
      <w:r w:rsidRPr="000A07EE">
        <w:rPr>
          <w:rStyle w:val="a3"/>
          <w:b w:val="0"/>
          <w:bCs w:val="0"/>
          <w:iCs/>
          <w:color w:val="000000"/>
          <w:lang w:val="uk-UA"/>
        </w:rPr>
        <w:t>РКП = ВТ</w:t>
      </w:r>
      <w:r w:rsidRPr="000A07EE">
        <w:rPr>
          <w:rStyle w:val="a3"/>
          <w:b w:val="0"/>
          <w:bCs w:val="0"/>
          <w:color w:val="000000"/>
          <w:lang w:val="uk-UA"/>
        </w:rPr>
        <w:t xml:space="preserve"> (у цьому випадку справді формула (1.94) буде практично адекватною формулі (1.98), хоча і в іншому запису). Але цей окремий випадок, на наш погляд, розглядається чисто як ймовірнісний. На практиці такий стан зустрічається вкрай рідко. Перевищення </w:t>
      </w:r>
      <w:r w:rsidRPr="000A07EE">
        <w:rPr>
          <w:rStyle w:val="a3"/>
          <w:b w:val="0"/>
          <w:bCs w:val="0"/>
          <w:i/>
          <w:iCs/>
          <w:color w:val="000000"/>
          <w:lang w:val="uk-UA"/>
        </w:rPr>
        <w:t>РКП</w:t>
      </w:r>
      <w:r w:rsidRPr="000A07EE">
        <w:rPr>
          <w:rStyle w:val="a3"/>
          <w:b w:val="0"/>
          <w:bCs w:val="0"/>
          <w:color w:val="000000"/>
          <w:lang w:val="uk-UA"/>
        </w:rPr>
        <w:t xml:space="preserve"> над </w:t>
      </w:r>
      <w:r w:rsidRPr="000A07EE">
        <w:rPr>
          <w:rStyle w:val="a3"/>
          <w:b w:val="0"/>
          <w:bCs w:val="0"/>
          <w:i/>
          <w:iCs/>
          <w:color w:val="000000"/>
          <w:lang w:val="uk-UA"/>
        </w:rPr>
        <w:t>ВТ</w:t>
      </w:r>
      <w:r w:rsidRPr="000A07EE">
        <w:rPr>
          <w:rStyle w:val="a3"/>
          <w:b w:val="0"/>
          <w:bCs w:val="0"/>
          <w:color w:val="000000"/>
          <w:lang w:val="uk-UA"/>
        </w:rPr>
        <w:t xml:space="preserve"> пояснюється дією на силу технологічного важеля, крім безпосередньо </w:t>
      </w:r>
      <w:r w:rsidRPr="000A07EE">
        <w:rPr>
          <w:rStyle w:val="a3"/>
          <w:b w:val="0"/>
          <w:bCs w:val="0"/>
          <w:iCs/>
          <w:color w:val="000000"/>
          <w:lang w:val="uk-UA"/>
        </w:rPr>
        <w:t>ТВ</w:t>
      </w:r>
      <w:r w:rsidRPr="000A07EE">
        <w:rPr>
          <w:rStyle w:val="a3"/>
          <w:b w:val="0"/>
          <w:bCs w:val="0"/>
          <w:color w:val="000000"/>
          <w:lang w:val="uk-UA"/>
        </w:rPr>
        <w:t xml:space="preserve">, ще декількох, зокрема важелів </w:t>
      </w:r>
      <w:r w:rsidRPr="000A07EE">
        <w:rPr>
          <w:rStyle w:val="a3"/>
          <w:b w:val="0"/>
          <w:bCs w:val="0"/>
          <w:i/>
          <w:iCs/>
          <w:color w:val="000000"/>
          <w:lang w:val="uk-UA"/>
        </w:rPr>
        <w:t>ВР</w:t>
      </w:r>
      <w:r w:rsidRPr="000A07EE">
        <w:rPr>
          <w:rStyle w:val="a3"/>
          <w:b w:val="0"/>
          <w:bCs w:val="0"/>
          <w:iCs/>
          <w:color w:val="000000"/>
          <w:lang w:val="uk-UA"/>
        </w:rPr>
        <w:t xml:space="preserve">, </w:t>
      </w:r>
      <w:r w:rsidRPr="000A07EE">
        <w:rPr>
          <w:rStyle w:val="a3"/>
          <w:b w:val="0"/>
          <w:bCs w:val="0"/>
          <w:i/>
          <w:iCs/>
          <w:color w:val="000000"/>
          <w:lang w:val="uk-UA"/>
        </w:rPr>
        <w:t>ОВ</w:t>
      </w:r>
      <w:r w:rsidRPr="000A07EE">
        <w:rPr>
          <w:rStyle w:val="a3"/>
          <w:b w:val="0"/>
          <w:bCs w:val="0"/>
          <w:iCs/>
          <w:color w:val="000000"/>
          <w:lang w:val="uk-UA"/>
        </w:rPr>
        <w:t xml:space="preserve">, </w:t>
      </w:r>
      <w:r w:rsidRPr="000A07EE">
        <w:rPr>
          <w:rStyle w:val="a3"/>
          <w:b w:val="0"/>
          <w:bCs w:val="0"/>
          <w:i/>
          <w:iCs/>
          <w:color w:val="000000"/>
          <w:lang w:val="uk-UA"/>
        </w:rPr>
        <w:t>ФВ</w:t>
      </w:r>
      <w:r w:rsidRPr="000A07EE">
        <w:rPr>
          <w:rStyle w:val="a3"/>
          <w:b w:val="0"/>
          <w:bCs w:val="0"/>
          <w:iCs/>
          <w:color w:val="000000"/>
          <w:lang w:val="uk-UA"/>
        </w:rPr>
        <w:t>,</w:t>
      </w:r>
      <w:r w:rsidRPr="000A07EE">
        <w:rPr>
          <w:rStyle w:val="a3"/>
          <w:b w:val="0"/>
          <w:bCs w:val="0"/>
          <w:color w:val="000000"/>
          <w:lang w:val="uk-UA"/>
        </w:rPr>
        <w:t xml:space="preserve"> докладно розглянутих вище.</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Оцінка рівня комерційного потенціалу інтелектуальної технології та розвиток методичних положень управління ним залежать не тільки від сили взаємодії між технологічним та операційним (виробничим) важелями. Керованість комерційними можливостями інтелектуальної технології також багато в чому залежить і від аналітичного опису сили взаємодії фінансового та технологічного важелів. Такий підхід дозволить координувати й оптимізувати як операційні, так і фінансові питання управління процесами трансферу ОІВ.</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Модель (1.98) у певних випадках (при відносній фінансовій слабкості розробника і відсутності можливостей повного фінансування інтелектуально-технологічних розробок) передбачає врахування дії фінансового важеля </w:t>
      </w:r>
      <w:r w:rsidRPr="000A07EE">
        <w:rPr>
          <w:rStyle w:val="a3"/>
          <w:b w:val="0"/>
          <w:bCs w:val="0"/>
          <w:i/>
          <w:iCs/>
          <w:color w:val="000000"/>
          <w:lang w:val="uk-UA"/>
        </w:rPr>
        <w:t>ФВ</w:t>
      </w:r>
      <w:r w:rsidRPr="000A07EE">
        <w:rPr>
          <w:rStyle w:val="a3"/>
          <w:b w:val="0"/>
          <w:bCs w:val="0"/>
          <w:color w:val="000000"/>
          <w:lang w:val="uk-UA"/>
        </w:rPr>
        <w:t xml:space="preserve">. Як нам здається, прямого впливу на </w:t>
      </w:r>
      <w:r w:rsidRPr="000A07EE">
        <w:rPr>
          <w:rStyle w:val="a3"/>
          <w:b w:val="0"/>
          <w:bCs w:val="0"/>
          <w:i/>
          <w:iCs/>
          <w:color w:val="000000"/>
          <w:lang w:val="uk-UA"/>
        </w:rPr>
        <w:t>РКП</w:t>
      </w:r>
      <w:r w:rsidRPr="000A07EE">
        <w:rPr>
          <w:rStyle w:val="a3"/>
          <w:b w:val="0"/>
          <w:bCs w:val="0"/>
          <w:color w:val="000000"/>
          <w:lang w:val="uk-UA"/>
        </w:rPr>
        <w:t xml:space="preserve"> величина </w:t>
      </w:r>
      <w:r w:rsidRPr="000A07EE">
        <w:rPr>
          <w:rStyle w:val="a3"/>
          <w:b w:val="0"/>
          <w:bCs w:val="0"/>
          <w:i/>
          <w:iCs/>
          <w:color w:val="000000"/>
          <w:lang w:val="uk-UA"/>
        </w:rPr>
        <w:t>ФВ</w:t>
      </w:r>
      <w:r w:rsidRPr="000A07EE">
        <w:rPr>
          <w:rStyle w:val="a3"/>
          <w:b w:val="0"/>
          <w:bCs w:val="0"/>
          <w:color w:val="000000"/>
          <w:lang w:val="uk-UA"/>
        </w:rPr>
        <w:t xml:space="preserve"> не чинить, а лише побічний, через механізм впливу на силу технологічного важеля. Значення технологічного важеля </w:t>
      </w:r>
      <w:r w:rsidRPr="000A07EE">
        <w:rPr>
          <w:rStyle w:val="a3"/>
          <w:b w:val="0"/>
          <w:bCs w:val="0"/>
          <w:i/>
          <w:iCs/>
          <w:color w:val="000000"/>
          <w:lang w:val="uk-UA"/>
        </w:rPr>
        <w:t>ТВ</w:t>
      </w:r>
      <w:r w:rsidRPr="000A07EE">
        <w:rPr>
          <w:rStyle w:val="a3"/>
          <w:b w:val="0"/>
          <w:bCs w:val="0"/>
          <w:color w:val="000000"/>
          <w:lang w:val="uk-UA"/>
        </w:rPr>
        <w:t xml:space="preserve"> у цих умовах пропонується розглядати як певну функцію від фінансового важеля </w:t>
      </w:r>
      <w:r w:rsidRPr="000A07EE">
        <w:rPr>
          <w:rStyle w:val="a3"/>
          <w:b w:val="0"/>
          <w:bCs w:val="0"/>
          <w:i/>
          <w:iCs/>
          <w:color w:val="000000"/>
          <w:lang w:val="uk-UA"/>
        </w:rPr>
        <w:t>ФВ</w:t>
      </w:r>
      <w:r w:rsidRPr="000A07EE">
        <w:rPr>
          <w:rStyle w:val="a3"/>
          <w:b w:val="0"/>
          <w:bCs w:val="0"/>
          <w:color w:val="000000"/>
          <w:lang w:val="uk-UA"/>
        </w:rPr>
        <w:t xml:space="preserve">, який у даному разі визначається відношенням активів до вартості капіталу підприємства, а також від суми інвестицій у </w:t>
      </w:r>
      <w:r w:rsidRPr="000A07EE">
        <w:rPr>
          <w:rStyle w:val="a3"/>
          <w:b w:val="0"/>
          <w:bCs w:val="0"/>
          <w:color w:val="000000"/>
          <w:lang w:val="uk-UA"/>
        </w:rPr>
        <w:lastRenderedPageBreak/>
        <w:t xml:space="preserve">створення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w:t>
      </w:r>
      <w:r w:rsidRPr="000A07EE">
        <w:rPr>
          <w:color w:val="000000"/>
          <w:position w:val="-14"/>
          <w:lang w:val="uk-UA"/>
        </w:rPr>
        <w:object w:dxaOrig="580" w:dyaOrig="400">
          <v:shape id="_x0000_i1044" type="#_x0000_t75" style="width:32.3pt;height:21.5pt" o:ole="">
            <v:imagedata r:id="rId45" o:title=""/>
          </v:shape>
          <o:OLEObject Type="Embed" ProgID="Equation.3" ShapeID="_x0000_i1044" DrawAspect="Content" ObjectID="_1508998403" r:id="rId46"/>
        </w:object>
      </w:r>
      <w:r w:rsidRPr="000A07EE">
        <w:rPr>
          <w:rStyle w:val="a3"/>
          <w:b w:val="0"/>
          <w:bCs w:val="0"/>
          <w:color w:val="000000"/>
          <w:lang w:val="uk-UA"/>
        </w:rPr>
        <w:t xml:space="preserve">) і наступних інвестицій та інших матеріальних витрат на розробку інтелектуально-технологічних продуктів, створених з використанням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включаючи витрати на поширення знань та оцінку технологій − </w:t>
      </w:r>
      <w:r w:rsidRPr="000A07EE">
        <w:rPr>
          <w:rStyle w:val="a3"/>
          <w:b w:val="0"/>
          <w:bCs w:val="0"/>
          <w:i/>
          <w:color w:val="000000"/>
          <w:lang w:val="uk-UA"/>
        </w:rPr>
        <w:t>І</w:t>
      </w:r>
      <w:r w:rsidRPr="000A07EE">
        <w:rPr>
          <w:rStyle w:val="a3"/>
          <w:b w:val="0"/>
          <w:bCs w:val="0"/>
          <w:i/>
          <w:color w:val="000000"/>
          <w:vertAlign w:val="subscript"/>
          <w:lang w:val="uk-UA"/>
        </w:rPr>
        <w:t>після</w:t>
      </w:r>
      <w:r w:rsidRPr="000A07EE">
        <w:rPr>
          <w:rStyle w:val="a3"/>
          <w:b w:val="0"/>
          <w:bCs w:val="0"/>
          <w:color w:val="000000"/>
          <w:lang w:val="uk-UA"/>
        </w:rPr>
        <w:t xml:space="preserve">   [8, с.188; с. 225]:</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center"/>
        <w:rPr>
          <w:rStyle w:val="a3"/>
          <w:b w:val="0"/>
          <w:bCs w:val="0"/>
          <w:color w:val="000000"/>
          <w:lang w:val="uk-UA"/>
        </w:rPr>
      </w:pPr>
      <w:r w:rsidRPr="000A07EE">
        <w:rPr>
          <w:noProof/>
          <w:color w:val="000000"/>
        </w:rPr>
        <w:pict>
          <v:rect id="_x0000_s1041" style="position:absolute;left:0;text-align:left;margin-left:330pt;margin-top:3.75pt;width:48.75pt;height:23.25pt;z-index:251675648" stroked="f">
            <v:textbox>
              <w:txbxContent>
                <w:p w:rsidR="000A07EE" w:rsidRPr="001C02FE" w:rsidRDefault="000A07EE" w:rsidP="000A07EE">
                  <w:pPr>
                    <w:rPr>
                      <w:rFonts w:ascii="Times New Roman" w:hAnsi="Times New Roman"/>
                    </w:rPr>
                  </w:pPr>
                  <w:r>
                    <w:rPr>
                      <w:rFonts w:ascii="Times New Roman" w:hAnsi="Times New Roman"/>
                    </w:rPr>
                    <w:t>(1.101)</w:t>
                  </w:r>
                </w:p>
              </w:txbxContent>
            </v:textbox>
          </v:rect>
        </w:pict>
      </w:r>
      <w:r w:rsidRPr="000A07EE">
        <w:rPr>
          <w:rStyle w:val="a3"/>
          <w:b w:val="0"/>
          <w:bCs w:val="0"/>
          <w:color w:val="000000"/>
          <w:lang w:val="uk-UA"/>
        </w:rPr>
        <w:t xml:space="preserve">ТВ = F </w:t>
      </w:r>
      <w:r w:rsidRPr="000A07EE">
        <w:rPr>
          <w:rStyle w:val="a3"/>
          <w:b w:val="0"/>
          <w:bCs w:val="0"/>
          <w:iCs/>
          <w:color w:val="000000"/>
          <w:lang w:val="uk-UA"/>
        </w:rPr>
        <w:t>(</w:t>
      </w:r>
      <w:r w:rsidRPr="000A07EE">
        <w:rPr>
          <w:rStyle w:val="a3"/>
          <w:b w:val="0"/>
          <w:bCs w:val="0"/>
          <w:color w:val="000000"/>
          <w:lang w:val="uk-UA"/>
        </w:rPr>
        <w:t>ФВ</w:t>
      </w:r>
      <w:r w:rsidRPr="000A07EE">
        <w:rPr>
          <w:rStyle w:val="a3"/>
          <w:b w:val="0"/>
          <w:bCs w:val="0"/>
          <w:iCs/>
          <w:color w:val="000000"/>
          <w:lang w:val="uk-UA"/>
        </w:rPr>
        <w:t>,</w:t>
      </w:r>
      <w:r w:rsidRPr="000A07EE">
        <w:rPr>
          <w:rStyle w:val="a3"/>
          <w:b w:val="0"/>
          <w:bCs w:val="0"/>
          <w:color w:val="000000"/>
          <w:lang w:val="uk-UA"/>
        </w:rPr>
        <w:t xml:space="preserve"> </w:t>
      </w:r>
      <w:r w:rsidRPr="000A07EE">
        <w:rPr>
          <w:color w:val="000000"/>
          <w:lang w:val="uk-UA"/>
        </w:rPr>
        <w:object w:dxaOrig="560" w:dyaOrig="400">
          <v:shape id="_x0000_i1045" type="#_x0000_t75" style="width:30.6pt;height:21.5pt" o:ole="">
            <v:imagedata r:id="rId47" o:title=""/>
          </v:shape>
          <o:OLEObject Type="Embed" ProgID="Equation.3" ShapeID="_x0000_i1045" DrawAspect="Content" ObjectID="_1508998404" r:id="rId48"/>
        </w:object>
      </w:r>
      <w:r w:rsidRPr="000A07EE">
        <w:rPr>
          <w:rStyle w:val="a3"/>
          <w:b w:val="0"/>
          <w:bCs w:val="0"/>
          <w:iCs/>
          <w:color w:val="000000"/>
          <w:lang w:val="uk-UA"/>
        </w:rPr>
        <w:t>,</w:t>
      </w:r>
      <w:r w:rsidRPr="000A07EE">
        <w:rPr>
          <w:rStyle w:val="a3"/>
          <w:b w:val="0"/>
          <w:bCs w:val="0"/>
          <w:color w:val="000000"/>
          <w:lang w:val="uk-UA"/>
        </w:rPr>
        <w:t xml:space="preserve"> І</w:t>
      </w:r>
      <w:r w:rsidRPr="000A07EE">
        <w:rPr>
          <w:rStyle w:val="a3"/>
          <w:b w:val="0"/>
          <w:bCs w:val="0"/>
          <w:color w:val="000000"/>
          <w:vertAlign w:val="subscript"/>
          <w:lang w:val="uk-UA"/>
        </w:rPr>
        <w:t>після</w:t>
      </w:r>
      <w:r w:rsidRPr="000A07EE">
        <w:rPr>
          <w:rStyle w:val="a3"/>
          <w:b w:val="0"/>
          <w:bCs w:val="0"/>
          <w:iCs/>
          <w:color w:val="000000"/>
          <w:lang w:val="uk-UA"/>
        </w:rPr>
        <w:t>)</w:t>
      </w:r>
      <w:r w:rsidRPr="000A07EE">
        <w:rPr>
          <w:rStyle w:val="a3"/>
          <w:b w:val="0"/>
          <w:bCs w:val="0"/>
          <w:color w:val="000000"/>
          <w:lang w:val="uk-UA"/>
        </w:rPr>
        <w:t>,</w:t>
      </w:r>
    </w:p>
    <w:tbl>
      <w:tblPr>
        <w:tblW w:w="6768" w:type="dxa"/>
        <w:tblLook w:val="01E0"/>
      </w:tblPr>
      <w:tblGrid>
        <w:gridCol w:w="4428"/>
        <w:gridCol w:w="2340"/>
      </w:tblGrid>
      <w:tr w:rsidR="000A07EE" w:rsidRPr="000A07EE" w:rsidTr="00437F68">
        <w:tc>
          <w:tcPr>
            <w:tcW w:w="4428" w:type="dxa"/>
            <w:vMerge w:val="restart"/>
            <w:tcBorders>
              <w:righ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w:t>
            </w:r>
          </w:p>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p w:rsidR="000A07EE" w:rsidRPr="000A07EE" w:rsidRDefault="000A07EE" w:rsidP="00437F68">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                     За таких обмежень:</w:t>
            </w:r>
          </w:p>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tc>
        <w:tc>
          <w:tcPr>
            <w:tcW w:w="2340" w:type="dxa"/>
            <w:tcBorders>
              <w:lef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iCs/>
                <w:color w:val="000000"/>
                <w:lang w:val="uk-UA"/>
              </w:rPr>
              <w:t>ФВ       &gt;   1</w:t>
            </w:r>
            <w:r w:rsidRPr="000A07EE">
              <w:rPr>
                <w:rStyle w:val="a3"/>
                <w:b w:val="0"/>
                <w:bCs w:val="0"/>
                <w:color w:val="000000"/>
                <w:lang w:val="uk-UA"/>
              </w:rPr>
              <w:t>;</w:t>
            </w:r>
          </w:p>
        </w:tc>
      </w:tr>
      <w:tr w:rsidR="000A07EE" w:rsidRPr="000A07EE" w:rsidTr="00437F68">
        <w:tc>
          <w:tcPr>
            <w:tcW w:w="4428" w:type="dxa"/>
            <w:vMerge/>
            <w:tcBorders>
              <w:righ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tc>
        <w:tc>
          <w:tcPr>
            <w:tcW w:w="2340" w:type="dxa"/>
            <w:tcBorders>
              <w:lef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color w:val="000000"/>
                <w:lang w:val="uk-UA"/>
              </w:rPr>
              <w:object w:dxaOrig="560" w:dyaOrig="400">
                <v:shape id="_x0000_i1046" type="#_x0000_t75" style="width:30.6pt;height:21.5pt" o:ole="">
                  <v:imagedata r:id="rId47" o:title=""/>
                </v:shape>
                <o:OLEObject Type="Embed" ProgID="Equation.3" ShapeID="_x0000_i1046" DrawAspect="Content" ObjectID="_1508998405" r:id="rId49"/>
              </w:object>
            </w:r>
            <w:r w:rsidRPr="000A07EE">
              <w:rPr>
                <w:rStyle w:val="a3"/>
                <w:b w:val="0"/>
                <w:bCs w:val="0"/>
                <w:iCs/>
                <w:color w:val="000000"/>
                <w:lang w:val="uk-UA"/>
              </w:rPr>
              <w:t xml:space="preserve">  &gt;   0</w:t>
            </w:r>
            <w:r w:rsidRPr="000A07EE">
              <w:rPr>
                <w:rStyle w:val="a3"/>
                <w:b w:val="0"/>
                <w:bCs w:val="0"/>
                <w:color w:val="000000"/>
                <w:lang w:val="uk-UA"/>
              </w:rPr>
              <w:t>;</w:t>
            </w:r>
          </w:p>
        </w:tc>
      </w:tr>
      <w:tr w:rsidR="000A07EE" w:rsidRPr="000A07EE" w:rsidTr="00437F68">
        <w:tc>
          <w:tcPr>
            <w:tcW w:w="4428" w:type="dxa"/>
            <w:vMerge/>
            <w:tcBorders>
              <w:righ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p>
        </w:tc>
        <w:tc>
          <w:tcPr>
            <w:tcW w:w="2340" w:type="dxa"/>
            <w:tcBorders>
              <w:left w:val="double" w:sz="4" w:space="0" w:color="auto"/>
            </w:tcBorders>
          </w:tcPr>
          <w:p w:rsidR="000A07EE" w:rsidRPr="000A07EE" w:rsidRDefault="000A07EE" w:rsidP="00437F68">
            <w:pPr>
              <w:pStyle w:val="rmclqbkwxfmc1"/>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І</w:t>
            </w:r>
            <w:r w:rsidRPr="000A07EE">
              <w:rPr>
                <w:rStyle w:val="a3"/>
                <w:b w:val="0"/>
                <w:bCs w:val="0"/>
                <w:color w:val="000000"/>
                <w:vertAlign w:val="subscript"/>
                <w:lang w:val="uk-UA"/>
              </w:rPr>
              <w:t xml:space="preserve">після     </w:t>
            </w:r>
            <w:r w:rsidRPr="000A07EE">
              <w:rPr>
                <w:rStyle w:val="a3"/>
                <w:b w:val="0"/>
                <w:bCs w:val="0"/>
                <w:iCs/>
                <w:color w:val="000000"/>
                <w:lang w:val="uk-UA"/>
              </w:rPr>
              <w:t>&gt;   0</w:t>
            </w:r>
            <w:r w:rsidRPr="000A07EE">
              <w:rPr>
                <w:rStyle w:val="a3"/>
                <w:b w:val="0"/>
                <w:bCs w:val="0"/>
                <w:color w:val="000000"/>
                <w:lang w:val="uk-UA"/>
              </w:rPr>
              <w:t>.</w:t>
            </w:r>
          </w:p>
        </w:tc>
      </w:tr>
    </w:tbl>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Модель (1.101) дозволяє розробити механізм для оцінки комерційних можливостей інтелектуально-інноваційної діяльності підприємства, в основу якого пропонується покласти технологічний важіль </w:t>
      </w:r>
      <w:r w:rsidRPr="000A07EE">
        <w:rPr>
          <w:rStyle w:val="a3"/>
          <w:b w:val="0"/>
          <w:bCs w:val="0"/>
          <w:i/>
          <w:color w:val="000000"/>
          <w:lang w:val="uk-UA"/>
        </w:rPr>
        <w:t>ТВ</w:t>
      </w:r>
      <w:r w:rsidRPr="000A07EE">
        <w:rPr>
          <w:rStyle w:val="a3"/>
          <w:b w:val="0"/>
          <w:bCs w:val="0"/>
          <w:color w:val="000000"/>
          <w:lang w:val="uk-UA"/>
        </w:rPr>
        <w:t xml:space="preserve"> у сукупності з фінансовим важелем </w:t>
      </w:r>
      <w:r w:rsidRPr="000A07EE">
        <w:rPr>
          <w:rStyle w:val="a3"/>
          <w:b w:val="0"/>
          <w:bCs w:val="0"/>
          <w:i/>
          <w:color w:val="000000"/>
          <w:lang w:val="uk-UA"/>
        </w:rPr>
        <w:t>ФВ</w:t>
      </w:r>
      <w:r w:rsidRPr="000A07EE">
        <w:rPr>
          <w:rStyle w:val="a3"/>
          <w:b w:val="0"/>
          <w:bCs w:val="0"/>
          <w:color w:val="000000"/>
          <w:lang w:val="uk-UA"/>
        </w:rPr>
        <w:t xml:space="preserve">. Алгоритм дії моделі (1.101) певною мірою залежить від сформованої на підприємстві ситуації з фінансуванням як інтелектуально-технологічних розробок, так і основного виробництва. Наприклад, підприємство фінансує сумарні витрати на створення і просування всіх </w:t>
      </w:r>
      <w:r w:rsidRPr="000A07EE">
        <w:rPr>
          <w:rStyle w:val="a3"/>
          <w:b w:val="0"/>
          <w:bCs w:val="0"/>
          <w:i/>
          <w:iCs/>
          <w:color w:val="000000"/>
          <w:lang w:val="uk-UA"/>
        </w:rPr>
        <w:t>j</w:t>
      </w:r>
      <w:r w:rsidRPr="000A07EE">
        <w:rPr>
          <w:rStyle w:val="a3"/>
          <w:b w:val="0"/>
          <w:bCs w:val="0"/>
          <w:color w:val="000000"/>
          <w:lang w:val="uk-UA"/>
        </w:rPr>
        <w:t xml:space="preserve">-х розробок на його основі </w:t>
      </w:r>
      <w:r w:rsidRPr="000A07EE">
        <w:rPr>
          <w:color w:val="000000"/>
          <w:position w:val="-30"/>
          <w:lang w:val="uk-UA"/>
        </w:rPr>
        <w:object w:dxaOrig="760" w:dyaOrig="700">
          <v:shape id="_x0000_i1047" type="#_x0000_t75" style="width:44.7pt;height:30.6pt" o:ole="">
            <v:imagedata r:id="rId50" o:title=""/>
          </v:shape>
          <o:OLEObject Type="Embed" ProgID="Equation.3" ShapeID="_x0000_i1047" DrawAspect="Content" ObjectID="_1508998406" r:id="rId51"/>
        </w:object>
      </w:r>
      <w:r w:rsidRPr="000A07EE">
        <w:rPr>
          <w:rStyle w:val="a3"/>
          <w:b w:val="0"/>
          <w:bCs w:val="0"/>
          <w:color w:val="000000"/>
          <w:lang w:val="uk-UA"/>
        </w:rPr>
        <w:t xml:space="preserve">, включаючи також і базові витрати на створення і просування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з коштів власного капіталу </w:t>
      </w:r>
      <w:r w:rsidRPr="000A07EE">
        <w:rPr>
          <w:rStyle w:val="a3"/>
          <w:b w:val="0"/>
          <w:bCs w:val="0"/>
          <w:i/>
          <w:iCs/>
          <w:color w:val="000000"/>
          <w:lang w:val="uk-UA"/>
        </w:rPr>
        <w:t>К</w:t>
      </w:r>
      <w:r w:rsidRPr="000A07EE">
        <w:rPr>
          <w:rStyle w:val="a3"/>
          <w:b w:val="0"/>
          <w:bCs w:val="0"/>
          <w:i/>
          <w:iCs/>
          <w:color w:val="000000"/>
          <w:vertAlign w:val="subscript"/>
          <w:lang w:val="uk-UA"/>
        </w:rPr>
        <w:t>вл</w:t>
      </w:r>
      <w:r w:rsidRPr="000A07EE">
        <w:rPr>
          <w:rStyle w:val="a3"/>
          <w:b w:val="0"/>
          <w:bCs w:val="0"/>
          <w:color w:val="000000"/>
          <w:lang w:val="uk-UA"/>
        </w:rPr>
        <w:t>. У цьому випадку:</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center"/>
        <w:rPr>
          <w:rStyle w:val="a3"/>
          <w:b w:val="0"/>
          <w:bCs w:val="0"/>
          <w:color w:val="000000"/>
          <w:lang w:val="uk-UA"/>
        </w:rPr>
      </w:pPr>
      <w:r w:rsidRPr="000A07EE">
        <w:rPr>
          <w:noProof/>
          <w:color w:val="000000"/>
        </w:rPr>
        <w:pict>
          <v:rect id="_x0000_s1042" style="position:absolute;left:0;text-align:left;margin-left:323.45pt;margin-top:9.45pt;width:53.25pt;height:26.25pt;z-index:251676672" stroked="f">
            <v:textbox>
              <w:txbxContent>
                <w:p w:rsidR="000A07EE" w:rsidRPr="001C02FE" w:rsidRDefault="000A07EE" w:rsidP="000A07EE">
                  <w:pPr>
                    <w:rPr>
                      <w:rFonts w:ascii="Times New Roman" w:hAnsi="Times New Roman"/>
                    </w:rPr>
                  </w:pPr>
                  <w:r>
                    <w:rPr>
                      <w:rFonts w:ascii="Times New Roman" w:hAnsi="Times New Roman"/>
                    </w:rPr>
                    <w:t>(1.102)</w:t>
                  </w:r>
                </w:p>
              </w:txbxContent>
            </v:textbox>
          </v:rect>
        </w:pict>
      </w:r>
      <w:r w:rsidRPr="000A07EE">
        <w:rPr>
          <w:color w:val="000000"/>
          <w:lang w:val="uk-UA"/>
        </w:rPr>
        <w:object w:dxaOrig="2240" w:dyaOrig="700">
          <v:shape id="_x0000_i1048" type="#_x0000_t75" style="width:133.25pt;height:33.95pt" o:ole="">
            <v:imagedata r:id="rId52" o:title=""/>
          </v:shape>
          <o:OLEObject Type="Embed" ProgID="Equation.3" ShapeID="_x0000_i1048" DrawAspect="Content" ObjectID="_1508998407" r:id="rId53"/>
        </w:object>
      </w:r>
      <w:r w:rsidRPr="000A07EE">
        <w:rPr>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де </w:t>
      </w:r>
      <w:r w:rsidRPr="000A07EE">
        <w:rPr>
          <w:rStyle w:val="a3"/>
          <w:b w:val="0"/>
          <w:bCs w:val="0"/>
          <w:i/>
          <w:iCs/>
          <w:color w:val="000000"/>
          <w:lang w:val="uk-UA"/>
        </w:rPr>
        <w:t>І</w:t>
      </w:r>
      <w:r w:rsidRPr="000A07EE">
        <w:rPr>
          <w:rStyle w:val="a3"/>
          <w:b w:val="0"/>
          <w:bCs w:val="0"/>
          <w:i/>
          <w:iCs/>
          <w:color w:val="000000"/>
          <w:vertAlign w:val="subscript"/>
          <w:lang w:val="uk-UA"/>
        </w:rPr>
        <w:t>Σ</w:t>
      </w:r>
      <w:r w:rsidRPr="000A07EE">
        <w:rPr>
          <w:rStyle w:val="a3"/>
          <w:b w:val="0"/>
          <w:bCs w:val="0"/>
          <w:color w:val="000000"/>
          <w:lang w:val="uk-UA"/>
        </w:rPr>
        <w:t xml:space="preserve"> − сумарні інвестиції підприємства в науково-дослідну діяльність, включаючи витрати на </w:t>
      </w:r>
      <w:r w:rsidRPr="000A07EE">
        <w:rPr>
          <w:i/>
          <w:iCs/>
          <w:color w:val="000000"/>
          <w:lang w:val="uk-UA"/>
        </w:rPr>
        <w:t>ОІВ</w:t>
      </w:r>
      <w:r w:rsidRPr="000A07EE">
        <w:rPr>
          <w:i/>
          <w:iCs/>
          <w:color w:val="000000"/>
          <w:vertAlign w:val="subscript"/>
          <w:lang w:val="uk-UA"/>
        </w:rPr>
        <w:t xml:space="preserve">баз </w:t>
      </w:r>
      <w:r w:rsidRPr="000A07EE">
        <w:rPr>
          <w:rStyle w:val="a3"/>
          <w:b w:val="0"/>
          <w:bCs w:val="0"/>
          <w:color w:val="000000"/>
          <w:lang w:val="uk-UA"/>
        </w:rPr>
        <w:t xml:space="preserve"> і наступні розробки на його основі.</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Припустимо, що  </w:t>
      </w:r>
      <w:r w:rsidRPr="000A07EE">
        <w:rPr>
          <w:rStyle w:val="a3"/>
          <w:b w:val="0"/>
          <w:bCs w:val="0"/>
          <w:i/>
          <w:iCs/>
          <w:color w:val="000000"/>
          <w:lang w:val="uk-UA"/>
        </w:rPr>
        <w:t>І</w:t>
      </w:r>
      <w:r w:rsidRPr="000A07EE">
        <w:rPr>
          <w:rStyle w:val="a3"/>
          <w:b w:val="0"/>
          <w:bCs w:val="0"/>
          <w:i/>
          <w:iCs/>
          <w:color w:val="000000"/>
          <w:vertAlign w:val="subscript"/>
          <w:lang w:val="uk-UA"/>
        </w:rPr>
        <w:t>Σ</w:t>
      </w:r>
      <w:r w:rsidRPr="000A07EE">
        <w:rPr>
          <w:rStyle w:val="a3"/>
          <w:b w:val="0"/>
          <w:bCs w:val="0"/>
          <w:color w:val="000000"/>
          <w:lang w:val="uk-UA"/>
        </w:rPr>
        <w:t xml:space="preserve">  фінансуються з власних коштів (власного капіталу) підприємства у зв'язку з тим, що отримання кредиту на створення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в даний час через певні обставини неможливе. Оборотний же капітал </w:t>
      </w:r>
      <w:r w:rsidRPr="000A07EE">
        <w:rPr>
          <w:rStyle w:val="a3"/>
          <w:b w:val="0"/>
          <w:bCs w:val="0"/>
          <w:i/>
          <w:iCs/>
          <w:color w:val="000000"/>
          <w:lang w:val="uk-UA"/>
        </w:rPr>
        <w:t>К</w:t>
      </w:r>
      <w:r w:rsidRPr="000A07EE">
        <w:rPr>
          <w:rStyle w:val="a3"/>
          <w:b w:val="0"/>
          <w:bCs w:val="0"/>
          <w:i/>
          <w:iCs/>
          <w:color w:val="000000"/>
          <w:vertAlign w:val="subscript"/>
          <w:lang w:val="uk-UA"/>
        </w:rPr>
        <w:t>обор</w:t>
      </w:r>
      <w:r w:rsidRPr="000A07EE">
        <w:rPr>
          <w:rStyle w:val="a3"/>
          <w:b w:val="0"/>
          <w:bCs w:val="0"/>
          <w:color w:val="000000"/>
          <w:lang w:val="uk-UA"/>
        </w:rPr>
        <w:t xml:space="preserve"> може фінансуватися з позикових коштів підприємства (наприклад, кредити банків), що також відображає практику проведення інноваційної діяльності на промислових підприємствах. Отже, є можливість представити модель (1.101) у декомпозиційному вигляді:</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center"/>
        <w:rPr>
          <w:rStyle w:val="a3"/>
          <w:b w:val="0"/>
          <w:bCs w:val="0"/>
          <w:color w:val="000000"/>
          <w:lang w:val="uk-UA"/>
        </w:rPr>
      </w:pPr>
      <w:r w:rsidRPr="000A07EE">
        <w:rPr>
          <w:noProof/>
          <w:color w:val="000000"/>
        </w:rPr>
        <w:pict>
          <v:rect id="_x0000_s1043" style="position:absolute;left:0;text-align:left;margin-left:334.7pt;margin-top:22.3pt;width:47.25pt;height:32.25pt;z-index:251677696" stroked="f">
            <v:textbox>
              <w:txbxContent>
                <w:p w:rsidR="000A07EE" w:rsidRPr="001C02FE" w:rsidRDefault="000A07EE" w:rsidP="000A07EE">
                  <w:pPr>
                    <w:rPr>
                      <w:rFonts w:ascii="Times New Roman" w:hAnsi="Times New Roman"/>
                    </w:rPr>
                  </w:pPr>
                  <w:r>
                    <w:rPr>
                      <w:rFonts w:ascii="Times New Roman" w:hAnsi="Times New Roman"/>
                    </w:rPr>
                    <w:t>(1.103)</w:t>
                  </w:r>
                </w:p>
              </w:txbxContent>
            </v:textbox>
          </v:rect>
        </w:pict>
      </w:r>
      <w:r w:rsidRPr="000A07EE">
        <w:rPr>
          <w:color w:val="000000"/>
          <w:lang w:val="uk-UA"/>
        </w:rPr>
        <w:object w:dxaOrig="6180" w:dyaOrig="1460">
          <v:shape id="_x0000_i1049" type="#_x0000_t75" style="width:277.25pt;height:62.9pt" o:ole="">
            <v:imagedata r:id="rId54" o:title=""/>
          </v:shape>
          <o:OLEObject Type="Embed" ProgID="Equation.3" ShapeID="_x0000_i1049" DrawAspect="Content" ObjectID="_1508998408" r:id="rId55"/>
        </w:objec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Розглянуте представлення моделі технологічного важеля є інструментом кількісного взаємозв’яку інноваційної активності промислових підприємств, яка в теорії інновацій найчастіше розглядається як якісний показник, з власними і позиковими активами підприємства, а також з витратами на інноваційну діяльність.</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Теорія інтелектуально-технологічних інновацій [7; 9] подальше дослідження ефективності технологічного важеля рекомендує проводити насамперед для підприємств-інноваторів, тобто таких, які після створення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використовують його переваги самостійно, організувавши виробництво і збут нової продукції.</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Алгоритм проведення досліджень ступеня впливу технологічного важеля на рівень комерційного потенціалу ОІВ включає такі елементи:</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1. Дослідження та аналіз етапів проведення НДДКР зі створення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2. Обґрунтування основних напрямів використання (комерціалізації, трансферу)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як основи для створення нових інтелектуально-інноваційних продуктів (тільки власне використання, повний або частковий продаж прав на використання, комбінований варіант і тощо.).</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lastRenderedPageBreak/>
        <w:t xml:space="preserve">3. Створення базових інтелектуально-інноваційних технологій на основі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для розробки нових і вдосконалення освоєних товарів та їх модифікацій.</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4. Використання базових інтелектуально-інноваційних технологій для розробки певної кількості нових і вдосконалення вже освоєних товарів та їх модифікацій (створення продуктово-технологічного кластера підприємства-виробника на основі </w:t>
      </w:r>
      <w:r w:rsidRPr="000A07EE">
        <w:rPr>
          <w:i/>
          <w:iCs/>
          <w:color w:val="000000"/>
          <w:lang w:val="uk-UA"/>
        </w:rPr>
        <w:t>ОІВ</w:t>
      </w:r>
      <w:r w:rsidRPr="000A07EE">
        <w:rPr>
          <w:i/>
          <w:iCs/>
          <w:color w:val="000000"/>
          <w:vertAlign w:val="subscript"/>
          <w:lang w:val="uk-UA"/>
        </w:rPr>
        <w:t>баз</w:t>
      </w:r>
      <w:r w:rsidRPr="000A07EE">
        <w:rPr>
          <w:iCs/>
          <w:color w:val="000000"/>
          <w:lang w:val="uk-UA"/>
        </w:rPr>
        <w:t>)</w: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5. Розрахунок операційного прибутку (рівня комерційного потенціалу) від використання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у кожному напрямі.</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6. Визначення стратегії підприємства-розробника за найефективнішим напрямом використання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Розмір операційного прибутку як основної функціональної складової рівня комерційного потенціалу (відповідно до ідеології моделі (1.100), пропонується визначати з використанням такої аналітичної залежності:</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center"/>
        <w:rPr>
          <w:color w:val="000000"/>
          <w:lang w:val="uk-UA"/>
        </w:rPr>
      </w:pPr>
      <w:r w:rsidRPr="000A07EE">
        <w:rPr>
          <w:noProof/>
          <w:color w:val="000000"/>
        </w:rPr>
        <w:pict>
          <v:rect id="_x0000_s1044" style="position:absolute;left:0;text-align:left;margin-left:338.2pt;margin-top:26.65pt;width:46.5pt;height:24.75pt;z-index:251678720" stroked="f">
            <v:textbox>
              <w:txbxContent>
                <w:p w:rsidR="000A07EE" w:rsidRPr="00E32437" w:rsidRDefault="000A07EE" w:rsidP="000A07EE">
                  <w:pPr>
                    <w:rPr>
                      <w:rFonts w:ascii="Times New Roman" w:hAnsi="Times New Roman"/>
                    </w:rPr>
                  </w:pPr>
                  <w:r>
                    <w:rPr>
                      <w:rFonts w:ascii="Times New Roman" w:hAnsi="Times New Roman"/>
                    </w:rPr>
                    <w:t>(1.104)</w:t>
                  </w:r>
                </w:p>
              </w:txbxContent>
            </v:textbox>
          </v:rect>
        </w:pict>
      </w:r>
      <w:r w:rsidRPr="000A07EE">
        <w:rPr>
          <w:color w:val="000000"/>
          <w:lang w:val="uk-UA"/>
        </w:rPr>
        <w:object w:dxaOrig="7460" w:dyaOrig="1480">
          <v:shape id="_x0000_i1050" type="#_x0000_t75" style="width:307.85pt;height:67.05pt" o:ole="">
            <v:imagedata r:id="rId56" o:title=""/>
          </v:shape>
          <o:OLEObject Type="Embed" ProgID="Equation.3" ShapeID="_x0000_i1050" DrawAspect="Content" ObjectID="_1508998409" r:id="rId57"/>
        </w:objec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jc w:val="both"/>
        <w:rPr>
          <w:rStyle w:val="a3"/>
          <w:b w:val="0"/>
          <w:bCs w:val="0"/>
          <w:color w:val="000000"/>
          <w:lang w:val="uk-UA"/>
        </w:rPr>
      </w:pPr>
      <w:r w:rsidRPr="000A07EE">
        <w:rPr>
          <w:rStyle w:val="a3"/>
          <w:b w:val="0"/>
          <w:bCs w:val="0"/>
          <w:color w:val="000000"/>
          <w:lang w:val="uk-UA"/>
        </w:rPr>
        <w:t xml:space="preserve">де </w:t>
      </w:r>
      <w:r w:rsidRPr="000A07EE">
        <w:rPr>
          <w:color w:val="000000"/>
          <w:position w:val="-12"/>
          <w:lang w:val="uk-UA"/>
        </w:rPr>
        <w:object w:dxaOrig="999" w:dyaOrig="380">
          <v:shape id="_x0000_i1051" type="#_x0000_t75" style="width:47.15pt;height:17.4pt" o:ole="">
            <v:imagedata r:id="rId58" o:title=""/>
          </v:shape>
          <o:OLEObject Type="Embed" ProgID="Equation.3" ShapeID="_x0000_i1051" DrawAspect="Content" ObjectID="_1508998410" r:id="rId59"/>
        </w:object>
      </w:r>
      <w:r w:rsidRPr="000A07EE">
        <w:rPr>
          <w:rStyle w:val="a3"/>
          <w:b w:val="0"/>
          <w:bCs w:val="0"/>
          <w:color w:val="000000"/>
          <w:lang w:val="uk-UA"/>
        </w:rPr>
        <w:t xml:space="preserve">− рівень комерційного потенціалу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при базовому напрямі його використання − власне споживання; </w:t>
      </w:r>
      <w:r w:rsidRPr="000A07EE">
        <w:rPr>
          <w:color w:val="000000"/>
          <w:position w:val="-16"/>
          <w:lang w:val="uk-UA"/>
        </w:rPr>
        <w:object w:dxaOrig="680" w:dyaOrig="420">
          <v:shape id="_x0000_i1052" type="#_x0000_t75" style="width:33.1pt;height:19.05pt" o:ole="">
            <v:imagedata r:id="rId60" o:title=""/>
          </v:shape>
          <o:OLEObject Type="Embed" ProgID="Equation.3" ShapeID="_x0000_i1052" DrawAspect="Content" ObjectID="_1508998411" r:id="rId61"/>
        </w:object>
      </w:r>
      <w:r w:rsidRPr="000A07EE">
        <w:rPr>
          <w:rStyle w:val="a3"/>
          <w:b w:val="0"/>
          <w:bCs w:val="0"/>
          <w:color w:val="000000"/>
          <w:lang w:val="uk-UA"/>
        </w:rPr>
        <w:t xml:space="preserve">− сумарний маржинальний дохід (прибуток) від збуту всіх модифікацій кінцевого продукту, розроблених з використанням технологій, створених на основі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w:t>
      </w:r>
      <w:r w:rsidRPr="000A07EE">
        <w:rPr>
          <w:color w:val="000000"/>
          <w:position w:val="-16"/>
          <w:lang w:val="uk-UA"/>
        </w:rPr>
        <w:object w:dxaOrig="600" w:dyaOrig="420">
          <v:shape id="_x0000_i1053" type="#_x0000_t75" style="width:34.75pt;height:24pt" o:ole="">
            <v:imagedata r:id="rId62" o:title=""/>
          </v:shape>
          <o:OLEObject Type="Embed" ProgID="Equation.3" ShapeID="_x0000_i1053" DrawAspect="Content" ObjectID="_1508998412" r:id="rId63"/>
        </w:object>
      </w:r>
      <w:r w:rsidRPr="000A07EE">
        <w:rPr>
          <w:rStyle w:val="a3"/>
          <w:b w:val="0"/>
          <w:bCs w:val="0"/>
          <w:color w:val="000000"/>
          <w:lang w:val="uk-UA"/>
        </w:rPr>
        <w:t xml:space="preserve">− сумарні витрати підприємства на розробку та освоєння всіх видів технологій, створених на основі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w:t>
      </w:r>
      <w:r w:rsidRPr="000A07EE">
        <w:rPr>
          <w:color w:val="000000"/>
          <w:position w:val="-14"/>
          <w:lang w:val="uk-UA"/>
        </w:rPr>
        <w:object w:dxaOrig="639" w:dyaOrig="400">
          <v:shape id="_x0000_i1054" type="#_x0000_t75" style="width:32.3pt;height:19.85pt" o:ole="">
            <v:imagedata r:id="rId64" o:title=""/>
          </v:shape>
          <o:OLEObject Type="Embed" ProgID="Equation.3" ShapeID="_x0000_i1054" DrawAspect="Content" ObjectID="_1508998413" r:id="rId65"/>
        </w:object>
      </w:r>
      <w:r w:rsidRPr="000A07EE">
        <w:rPr>
          <w:rStyle w:val="a3"/>
          <w:b w:val="0"/>
          <w:bCs w:val="0"/>
          <w:color w:val="000000"/>
          <w:lang w:val="uk-UA"/>
        </w:rPr>
        <w:t xml:space="preserve">− сумарні умовно-постійні витрати підприємства, що припадають на всі модифікації кінцевого продукту, розроблені з використанням технологій, створених на основі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w:t>
      </w:r>
      <w:r w:rsidRPr="000A07EE">
        <w:rPr>
          <w:rStyle w:val="a3"/>
          <w:b w:val="0"/>
          <w:bCs w:val="0"/>
          <w:i/>
          <w:iCs/>
          <w:color w:val="000000"/>
          <w:lang w:val="uk-UA"/>
        </w:rPr>
        <w:t>K</w:t>
      </w:r>
      <w:r w:rsidRPr="000A07EE">
        <w:rPr>
          <w:rStyle w:val="a3"/>
          <w:b w:val="0"/>
          <w:bCs w:val="0"/>
          <w:color w:val="000000"/>
          <w:lang w:val="uk-UA"/>
        </w:rPr>
        <w:t xml:space="preserve"> − обсяг базових інтелектуально-інноваційних технологій на основі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для розробки нових і вдосконалення освоєних товарів та їх модифікацій; </w:t>
      </w:r>
      <w:r w:rsidRPr="000A07EE">
        <w:rPr>
          <w:rStyle w:val="a3"/>
          <w:b w:val="0"/>
          <w:bCs w:val="0"/>
          <w:i/>
          <w:iCs/>
          <w:color w:val="000000"/>
          <w:lang w:val="uk-UA"/>
        </w:rPr>
        <w:t>M</w:t>
      </w:r>
      <w:r w:rsidRPr="000A07EE">
        <w:rPr>
          <w:rStyle w:val="a3"/>
          <w:b w:val="0"/>
          <w:bCs w:val="0"/>
          <w:i/>
          <w:iCs/>
          <w:color w:val="000000"/>
          <w:vertAlign w:val="subscript"/>
          <w:lang w:val="uk-UA"/>
        </w:rPr>
        <w:t>k</w:t>
      </w:r>
      <w:r w:rsidRPr="000A07EE">
        <w:rPr>
          <w:rStyle w:val="a3"/>
          <w:b w:val="0"/>
          <w:bCs w:val="0"/>
          <w:color w:val="000000"/>
          <w:lang w:val="uk-UA"/>
        </w:rPr>
        <w:t xml:space="preserve"> − кількість нових і вдосконалених товарів та їх модифікацій на базі </w:t>
      </w:r>
      <w:r w:rsidRPr="000A07EE">
        <w:rPr>
          <w:rStyle w:val="a3"/>
          <w:b w:val="0"/>
          <w:bCs w:val="0"/>
          <w:iCs/>
          <w:color w:val="000000"/>
          <w:lang w:val="uk-UA"/>
        </w:rPr>
        <w:t>к</w:t>
      </w:r>
      <w:r w:rsidRPr="000A07EE">
        <w:rPr>
          <w:rStyle w:val="a3"/>
          <w:b w:val="0"/>
          <w:bCs w:val="0"/>
          <w:color w:val="000000"/>
          <w:lang w:val="uk-UA"/>
        </w:rPr>
        <w:t xml:space="preserve">-ої інтелектуально-інноваційної технології; </w:t>
      </w:r>
      <w:r w:rsidRPr="000A07EE">
        <w:rPr>
          <w:color w:val="000000"/>
          <w:position w:val="-14"/>
          <w:lang w:val="uk-UA"/>
        </w:rPr>
        <w:object w:dxaOrig="499" w:dyaOrig="400">
          <v:shape id="_x0000_i1055" type="#_x0000_t75" style="width:27.3pt;height:21.5pt" o:ole="">
            <v:imagedata r:id="rId66" o:title=""/>
          </v:shape>
          <o:OLEObject Type="Embed" ProgID="Equation.3" ShapeID="_x0000_i1055" DrawAspect="Content" ObjectID="_1508998414" r:id="rId67"/>
        </w:object>
      </w:r>
      <w:r w:rsidRPr="000A07EE">
        <w:rPr>
          <w:rStyle w:val="a3"/>
          <w:b w:val="0"/>
          <w:bCs w:val="0"/>
          <w:color w:val="000000"/>
          <w:lang w:val="uk-UA"/>
        </w:rPr>
        <w:t xml:space="preserve">− обсяг виробництва (збуту) виробів </w:t>
      </w:r>
      <w:r w:rsidRPr="000A07EE">
        <w:rPr>
          <w:rStyle w:val="a3"/>
          <w:b w:val="0"/>
          <w:bCs w:val="0"/>
          <w:i/>
          <w:iCs/>
          <w:color w:val="000000"/>
          <w:lang w:val="uk-UA"/>
        </w:rPr>
        <w:t>m</w:t>
      </w:r>
      <w:r w:rsidRPr="000A07EE">
        <w:rPr>
          <w:rStyle w:val="a3"/>
          <w:b w:val="0"/>
          <w:bCs w:val="0"/>
          <w:i/>
          <w:iCs/>
          <w:color w:val="000000"/>
          <w:vertAlign w:val="subscript"/>
          <w:lang w:val="uk-UA"/>
        </w:rPr>
        <w:t>к</w:t>
      </w:r>
      <w:r w:rsidRPr="000A07EE">
        <w:rPr>
          <w:rStyle w:val="a3"/>
          <w:b w:val="0"/>
          <w:bCs w:val="0"/>
          <w:color w:val="000000"/>
          <w:lang w:val="uk-UA"/>
        </w:rPr>
        <w:t xml:space="preserve">-ої модифікації на базі </w:t>
      </w:r>
      <w:r w:rsidRPr="000A07EE">
        <w:rPr>
          <w:rStyle w:val="a3"/>
          <w:b w:val="0"/>
          <w:bCs w:val="0"/>
          <w:i/>
          <w:iCs/>
          <w:color w:val="000000"/>
          <w:lang w:val="uk-UA"/>
        </w:rPr>
        <w:t>к</w:t>
      </w:r>
      <w:r w:rsidRPr="000A07EE">
        <w:rPr>
          <w:rStyle w:val="a3"/>
          <w:b w:val="0"/>
          <w:bCs w:val="0"/>
          <w:color w:val="000000"/>
          <w:lang w:val="uk-UA"/>
        </w:rPr>
        <w:t xml:space="preserve">-ої інтелектуально-інноваційної технології; </w:t>
      </w:r>
      <w:r w:rsidRPr="000A07EE">
        <w:rPr>
          <w:position w:val="-14"/>
        </w:rPr>
        <w:object w:dxaOrig="499" w:dyaOrig="380">
          <v:shape id="_x0000_i1056" type="#_x0000_t75" style="width:24.85pt;height:19.05pt" o:ole="">
            <v:imagedata r:id="rId68" o:title=""/>
          </v:shape>
          <o:OLEObject Type="Embed" ProgID="Equation.DSMT4" ShapeID="_x0000_i1056" DrawAspect="Content" ObjectID="_1508998415" r:id="rId69"/>
        </w:object>
      </w:r>
      <w:r w:rsidRPr="000A07EE">
        <w:rPr>
          <w:rStyle w:val="a3"/>
          <w:b w:val="0"/>
          <w:bCs w:val="0"/>
          <w:color w:val="000000"/>
          <w:lang w:val="uk-UA"/>
        </w:rPr>
        <w:t xml:space="preserve"> − ціна одного виробу;</w:t>
      </w:r>
      <w:r w:rsidRPr="000A07EE">
        <w:rPr>
          <w:color w:val="000000"/>
          <w:lang w:val="uk-UA"/>
        </w:rPr>
        <w:t xml:space="preserve"> </w:t>
      </w:r>
      <w:r w:rsidRPr="000A07EE">
        <w:rPr>
          <w:color w:val="000000"/>
          <w:position w:val="-14"/>
          <w:lang w:val="uk-UA"/>
        </w:rPr>
        <w:object w:dxaOrig="639" w:dyaOrig="400">
          <v:shape id="_x0000_i1057" type="#_x0000_t75" style="width:38.05pt;height:23.15pt" o:ole="">
            <v:imagedata r:id="rId70" o:title=""/>
          </v:shape>
          <o:OLEObject Type="Embed" ProgID="Equation.3" ShapeID="_x0000_i1057" DrawAspect="Content" ObjectID="_1508998416" r:id="rId71"/>
        </w:object>
      </w:r>
      <w:r w:rsidRPr="000A07EE">
        <w:rPr>
          <w:rStyle w:val="a3"/>
          <w:b w:val="0"/>
          <w:bCs w:val="0"/>
          <w:color w:val="000000"/>
          <w:lang w:val="uk-UA"/>
        </w:rPr>
        <w:t xml:space="preserve"> − змінні витрати на одиницю </w:t>
      </w:r>
      <w:r w:rsidRPr="000A07EE">
        <w:rPr>
          <w:rStyle w:val="a3"/>
          <w:b w:val="0"/>
          <w:bCs w:val="0"/>
          <w:i/>
          <w:iCs/>
          <w:color w:val="000000"/>
          <w:lang w:val="uk-UA"/>
        </w:rPr>
        <w:t>m</w:t>
      </w:r>
      <w:r w:rsidRPr="000A07EE">
        <w:rPr>
          <w:rStyle w:val="a3"/>
          <w:b w:val="0"/>
          <w:bCs w:val="0"/>
          <w:i/>
          <w:iCs/>
          <w:color w:val="000000"/>
          <w:vertAlign w:val="subscript"/>
          <w:lang w:val="uk-UA"/>
        </w:rPr>
        <w:t>к</w:t>
      </w:r>
      <w:r w:rsidRPr="000A07EE">
        <w:rPr>
          <w:rStyle w:val="a3"/>
          <w:b w:val="0"/>
          <w:bCs w:val="0"/>
          <w:color w:val="000000"/>
          <w:lang w:val="uk-UA"/>
        </w:rPr>
        <w:t xml:space="preserve">-ої моделі (модифікації) товару на базі </w:t>
      </w:r>
      <w:r w:rsidRPr="000A07EE">
        <w:rPr>
          <w:rStyle w:val="a3"/>
          <w:b w:val="0"/>
          <w:bCs w:val="0"/>
          <w:i/>
          <w:iCs/>
          <w:color w:val="000000"/>
          <w:lang w:val="uk-UA"/>
        </w:rPr>
        <w:t>к</w:t>
      </w:r>
      <w:r w:rsidRPr="000A07EE">
        <w:rPr>
          <w:rStyle w:val="a3"/>
          <w:b w:val="0"/>
          <w:bCs w:val="0"/>
          <w:color w:val="000000"/>
          <w:lang w:val="uk-UA"/>
        </w:rPr>
        <w:t>-ої інтелектуально-інноваційної технології;</w:t>
      </w:r>
      <w:r w:rsidRPr="000A07EE">
        <w:rPr>
          <w:color w:val="000000"/>
          <w:lang w:val="uk-UA"/>
        </w:rPr>
        <w:t xml:space="preserve"> </w:t>
      </w:r>
      <w:r w:rsidRPr="000A07EE">
        <w:rPr>
          <w:color w:val="000000"/>
          <w:position w:val="-14"/>
          <w:lang w:val="uk-UA"/>
        </w:rPr>
        <w:object w:dxaOrig="440" w:dyaOrig="400">
          <v:shape id="_x0000_i1058" type="#_x0000_t75" style="width:34.75pt;height:23.15pt" o:ole="">
            <v:imagedata r:id="rId72" o:title=""/>
          </v:shape>
          <o:OLEObject Type="Embed" ProgID="Equation.3" ShapeID="_x0000_i1058" DrawAspect="Content" ObjectID="_1508998417" r:id="rId73"/>
        </w:object>
      </w:r>
      <w:r w:rsidRPr="000A07EE">
        <w:rPr>
          <w:rStyle w:val="a3"/>
          <w:b w:val="0"/>
          <w:bCs w:val="0"/>
          <w:color w:val="000000"/>
          <w:lang w:val="uk-UA"/>
        </w:rPr>
        <w:t xml:space="preserve"> − витрати на розробку й освоєння виробництва </w:t>
      </w:r>
      <w:r w:rsidRPr="000A07EE">
        <w:rPr>
          <w:rStyle w:val="a3"/>
          <w:b w:val="0"/>
          <w:bCs w:val="0"/>
          <w:i/>
          <w:iCs/>
          <w:color w:val="000000"/>
          <w:lang w:val="uk-UA"/>
        </w:rPr>
        <w:t>m</w:t>
      </w:r>
      <w:r w:rsidRPr="000A07EE">
        <w:rPr>
          <w:rStyle w:val="a3"/>
          <w:b w:val="0"/>
          <w:bCs w:val="0"/>
          <w:i/>
          <w:iCs/>
          <w:color w:val="000000"/>
          <w:vertAlign w:val="subscript"/>
          <w:lang w:val="uk-UA"/>
        </w:rPr>
        <w:t>к</w:t>
      </w:r>
      <w:r w:rsidRPr="000A07EE">
        <w:rPr>
          <w:rStyle w:val="a3"/>
          <w:b w:val="0"/>
          <w:bCs w:val="0"/>
          <w:color w:val="000000"/>
          <w:lang w:val="uk-UA"/>
        </w:rPr>
        <w:t xml:space="preserve">-ої моделі (модифікації) товару на базі </w:t>
      </w:r>
      <w:r w:rsidRPr="000A07EE">
        <w:rPr>
          <w:rStyle w:val="a3"/>
          <w:b w:val="0"/>
          <w:bCs w:val="0"/>
          <w:i/>
          <w:color w:val="000000"/>
          <w:lang w:val="uk-UA"/>
        </w:rPr>
        <w:t>к</w:t>
      </w:r>
      <w:r w:rsidRPr="000A07EE">
        <w:rPr>
          <w:rStyle w:val="a3"/>
          <w:b w:val="0"/>
          <w:bCs w:val="0"/>
          <w:color w:val="000000"/>
          <w:lang w:val="uk-UA"/>
        </w:rPr>
        <w:t xml:space="preserve">-ої інтелектуально-інноваційної технології; </w:t>
      </w:r>
      <w:r w:rsidRPr="000A07EE">
        <w:rPr>
          <w:color w:val="000000"/>
          <w:position w:val="-12"/>
          <w:lang w:val="uk-UA"/>
        </w:rPr>
        <w:object w:dxaOrig="700" w:dyaOrig="380">
          <v:shape id="_x0000_i1059" type="#_x0000_t75" style="width:34.75pt;height:19.05pt" o:ole="">
            <v:imagedata r:id="rId74" o:title=""/>
          </v:shape>
          <o:OLEObject Type="Embed" ProgID="Equation.3" ShapeID="_x0000_i1059" DrawAspect="Content" ObjectID="_1508998418" r:id="rId75"/>
        </w:object>
      </w:r>
      <w:r w:rsidRPr="000A07EE">
        <w:rPr>
          <w:rStyle w:val="a3"/>
          <w:b w:val="0"/>
          <w:bCs w:val="0"/>
          <w:color w:val="000000"/>
          <w:lang w:val="uk-UA"/>
        </w:rPr>
        <w:t xml:space="preserve">− витрати підприємства на проведення всіх етапів НДДКР зі створення та освоєння </w:t>
      </w:r>
      <w:r w:rsidRPr="000A07EE">
        <w:rPr>
          <w:rStyle w:val="a3"/>
          <w:b w:val="0"/>
          <w:bCs w:val="0"/>
          <w:i/>
          <w:iCs/>
          <w:color w:val="000000"/>
          <w:lang w:val="uk-UA"/>
        </w:rPr>
        <w:t>k</w:t>
      </w:r>
      <w:r w:rsidRPr="000A07EE">
        <w:rPr>
          <w:rStyle w:val="a3"/>
          <w:b w:val="0"/>
          <w:bCs w:val="0"/>
          <w:color w:val="000000"/>
          <w:lang w:val="uk-UA"/>
        </w:rPr>
        <w:t xml:space="preserve">-ої інтелектуально-інноваційної технології, створеної на основі </w:t>
      </w:r>
      <w:r w:rsidRPr="000A07EE">
        <w:rPr>
          <w:i/>
          <w:iCs/>
          <w:color w:val="000000"/>
          <w:lang w:val="uk-UA"/>
        </w:rPr>
        <w:t>ОІВ</w:t>
      </w:r>
      <w:r w:rsidRPr="000A07EE">
        <w:rPr>
          <w:i/>
          <w:iCs/>
          <w:color w:val="000000"/>
          <w:vertAlign w:val="subscript"/>
          <w:lang w:val="uk-UA"/>
        </w:rPr>
        <w:t>баз</w:t>
      </w:r>
      <w:r w:rsidRPr="000A07EE">
        <w:rPr>
          <w:rStyle w:val="a3"/>
          <w:b w:val="0"/>
          <w:bCs w:val="0"/>
          <w:color w:val="000000"/>
          <w:lang w:val="uk-UA"/>
        </w:rPr>
        <w:t xml:space="preserve">; </w:t>
      </w:r>
      <w:r w:rsidRPr="000A07EE">
        <w:rPr>
          <w:color w:val="000000"/>
          <w:position w:val="-14"/>
          <w:lang w:val="uk-UA"/>
        </w:rPr>
        <w:object w:dxaOrig="580" w:dyaOrig="380">
          <v:shape id="_x0000_i1060" type="#_x0000_t75" style="width:28.95pt;height:19.05pt" o:ole="">
            <v:imagedata r:id="rId76" o:title=""/>
          </v:shape>
          <o:OLEObject Type="Embed" ProgID="Equation.3" ShapeID="_x0000_i1060" DrawAspect="Content" ObjectID="_1508998419" r:id="rId77"/>
        </w:object>
      </w:r>
      <w:r w:rsidRPr="000A07EE">
        <w:rPr>
          <w:rStyle w:val="a3"/>
          <w:b w:val="0"/>
          <w:bCs w:val="0"/>
          <w:color w:val="000000"/>
          <w:lang w:val="uk-UA"/>
        </w:rPr>
        <w:t xml:space="preserve">− величина постійних витрат для </w:t>
      </w:r>
      <w:r w:rsidRPr="000A07EE">
        <w:rPr>
          <w:rStyle w:val="a3"/>
          <w:b w:val="0"/>
          <w:bCs w:val="0"/>
          <w:i/>
          <w:iCs/>
          <w:color w:val="000000"/>
          <w:lang w:val="uk-UA"/>
        </w:rPr>
        <w:t>k</w:t>
      </w:r>
      <w:r w:rsidRPr="000A07EE">
        <w:rPr>
          <w:rStyle w:val="a3"/>
          <w:b w:val="0"/>
          <w:bCs w:val="0"/>
          <w:color w:val="000000"/>
          <w:lang w:val="uk-UA"/>
        </w:rPr>
        <w:t>-ої інтелектуально-інноваційної технології.</w:t>
      </w:r>
    </w:p>
    <w:p w:rsidR="000A07EE" w:rsidRPr="000A07EE" w:rsidRDefault="000A07EE" w:rsidP="000A07EE">
      <w:pPr>
        <w:pStyle w:val="rmclqbkwxfmc1"/>
        <w:shd w:val="clear" w:color="auto" w:fill="FFFFFF"/>
        <w:tabs>
          <w:tab w:val="left" w:pos="1440"/>
        </w:tabs>
        <w:suppressAutoHyphens/>
        <w:spacing w:before="0" w:beforeAutospacing="0" w:after="0" w:afterAutospacing="0" w:line="264" w:lineRule="auto"/>
        <w:ind w:firstLine="567"/>
        <w:jc w:val="both"/>
        <w:rPr>
          <w:rStyle w:val="a3"/>
          <w:b w:val="0"/>
          <w:bCs w:val="0"/>
          <w:color w:val="000000"/>
          <w:lang w:val="uk-UA"/>
        </w:rPr>
      </w:pPr>
      <w:r w:rsidRPr="000A07EE">
        <w:rPr>
          <w:rStyle w:val="a3"/>
          <w:b w:val="0"/>
          <w:bCs w:val="0"/>
          <w:color w:val="000000"/>
          <w:lang w:val="uk-UA"/>
        </w:rPr>
        <w:t xml:space="preserve">Слід зауважити, що використання в моделі (1.104) маржинального доходу (прибутку) точно відповідає предмету проведеного нами дослідження, до якого відносимо об'єкти інтелектуальної власності. </w:t>
      </w:r>
    </w:p>
    <w:p w:rsidR="00672897" w:rsidRPr="000A07EE" w:rsidRDefault="000A07EE" w:rsidP="000A07EE">
      <w:pPr>
        <w:rPr>
          <w:rFonts w:ascii="Times New Roman" w:hAnsi="Times New Roman" w:cs="Times New Roman"/>
          <w:sz w:val="24"/>
          <w:szCs w:val="24"/>
          <w:lang w:val="uk-UA"/>
        </w:rPr>
      </w:pPr>
      <w:r w:rsidRPr="000A07EE">
        <w:rPr>
          <w:rStyle w:val="a3"/>
          <w:rFonts w:ascii="Times New Roman" w:hAnsi="Times New Roman"/>
          <w:b w:val="0"/>
          <w:bCs w:val="0"/>
          <w:color w:val="000000"/>
          <w:sz w:val="24"/>
          <w:szCs w:val="24"/>
          <w:lang w:val="uk-UA"/>
        </w:rPr>
        <w:t>Використання концепції технологічного важеля дозволяє певною мірою підвищити точність і обгрунтованість оцінки рівня комерційної привабливості об'єктів інтелектуальної власності при їх підготовці до трансферних операцій, зробити розрахунки вартісної оцінки ефективності використання ОІВ надійнішими.</w:t>
      </w:r>
    </w:p>
    <w:sectPr w:rsidR="00672897" w:rsidRPr="000A07EE">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2897" w:rsidRDefault="00672897" w:rsidP="000A07EE">
      <w:pPr>
        <w:spacing w:after="0" w:line="240" w:lineRule="auto"/>
      </w:pPr>
      <w:r>
        <w:separator/>
      </w:r>
    </w:p>
  </w:endnote>
  <w:endnote w:type="continuationSeparator" w:id="1">
    <w:p w:rsidR="00672897" w:rsidRDefault="00672897" w:rsidP="000A07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2897" w:rsidRDefault="00672897" w:rsidP="000A07EE">
      <w:pPr>
        <w:spacing w:after="0" w:line="240" w:lineRule="auto"/>
      </w:pPr>
      <w:r>
        <w:separator/>
      </w:r>
    </w:p>
  </w:footnote>
  <w:footnote w:type="continuationSeparator" w:id="1">
    <w:p w:rsidR="00672897" w:rsidRDefault="00672897" w:rsidP="000A07EE">
      <w:pPr>
        <w:spacing w:after="0" w:line="240" w:lineRule="auto"/>
      </w:pPr>
      <w:r>
        <w:continuationSeparator/>
      </w:r>
    </w:p>
  </w:footnote>
  <w:footnote w:id="2">
    <w:p w:rsidR="000A07EE" w:rsidRPr="00D42D21" w:rsidRDefault="000A07EE" w:rsidP="000A07EE">
      <w:pPr>
        <w:pStyle w:val="a4"/>
        <w:spacing w:after="0" w:line="240" w:lineRule="auto"/>
        <w:jc w:val="both"/>
        <w:rPr>
          <w:rFonts w:ascii="Times New Roman" w:hAnsi="Times New Roman"/>
        </w:rPr>
      </w:pPr>
      <w:r w:rsidRPr="00D42D21">
        <w:rPr>
          <w:rStyle w:val="a6"/>
          <w:rFonts w:ascii="Times New Roman" w:hAnsi="Times New Roman"/>
        </w:rPr>
        <w:t>*</w:t>
      </w:r>
      <w:r w:rsidRPr="00D42D21">
        <w:rPr>
          <w:rFonts w:ascii="Times New Roman" w:hAnsi="Times New Roman"/>
        </w:rPr>
        <w:t>Перерва П</w:t>
      </w:r>
      <w:r>
        <w:rPr>
          <w:rFonts w:ascii="Times New Roman" w:hAnsi="Times New Roman"/>
          <w:lang w:val="ru-RU"/>
        </w:rPr>
        <w:t xml:space="preserve">етро </w:t>
      </w:r>
      <w:r w:rsidRPr="00D42D21">
        <w:rPr>
          <w:rFonts w:ascii="Times New Roman" w:hAnsi="Times New Roman"/>
        </w:rPr>
        <w:t>Г</w:t>
      </w:r>
      <w:r>
        <w:rPr>
          <w:rFonts w:ascii="Times New Roman" w:hAnsi="Times New Roman"/>
          <w:lang w:val="ru-RU"/>
        </w:rPr>
        <w:t>ригорович</w:t>
      </w:r>
      <w:r w:rsidRPr="00D42D21">
        <w:rPr>
          <w:rFonts w:ascii="Times New Roman" w:hAnsi="Times New Roman"/>
        </w:rPr>
        <w:t xml:space="preserve"> – </w:t>
      </w:r>
      <w:r>
        <w:rPr>
          <w:rFonts w:ascii="Times New Roman" w:hAnsi="Times New Roman"/>
          <w:lang w:val="ru-RU"/>
        </w:rPr>
        <w:t>д-р</w:t>
      </w:r>
      <w:r w:rsidRPr="00D42D21">
        <w:rPr>
          <w:rFonts w:ascii="Times New Roman" w:hAnsi="Times New Roman"/>
        </w:rPr>
        <w:t>. екон. наук, професор кафедри економіки та маркетингу Національного технічного університету «Харківський політехнічний інститут».</w:t>
      </w:r>
    </w:p>
    <w:p w:rsidR="000A07EE" w:rsidRPr="00D42D21" w:rsidRDefault="000A07EE" w:rsidP="000A07EE">
      <w:pPr>
        <w:pStyle w:val="a4"/>
        <w:spacing w:after="0" w:line="240" w:lineRule="auto"/>
        <w:jc w:val="both"/>
        <w:rPr>
          <w:rFonts w:ascii="Times New Roman" w:hAnsi="Times New Roman"/>
        </w:rPr>
      </w:pPr>
      <w:r w:rsidRPr="00D42D21">
        <w:rPr>
          <w:rFonts w:ascii="Times New Roman" w:hAnsi="Times New Roman"/>
        </w:rPr>
        <w:t>Косенко Олександра Петрівна – канд. екон. наук, доцент кафедри економіки та маркетингу Національного технічного університету «Харківський політехнічний інститут».</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46E2C"/>
    <w:multiLevelType w:val="hybridMultilevel"/>
    <w:tmpl w:val="99B6723C"/>
    <w:lvl w:ilvl="0" w:tplc="7698106E">
      <w:start w:val="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1A3F1D9F"/>
    <w:multiLevelType w:val="hybridMultilevel"/>
    <w:tmpl w:val="2B281E7A"/>
    <w:lvl w:ilvl="0" w:tplc="7698106E">
      <w:start w:val="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efaultTabStop w:val="708"/>
  <w:characterSpacingControl w:val="doNotCompress"/>
  <w:footnotePr>
    <w:footnote w:id="0"/>
    <w:footnote w:id="1"/>
  </w:footnotePr>
  <w:endnotePr>
    <w:endnote w:id="0"/>
    <w:endnote w:id="1"/>
  </w:endnotePr>
  <w:compat>
    <w:useFELayout/>
  </w:compat>
  <w:rsids>
    <w:rsidRoot w:val="000A07EE"/>
    <w:rsid w:val="000A07EE"/>
    <w:rsid w:val="0067289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0A07EE"/>
    <w:rPr>
      <w:rFonts w:cs="Times New Roman"/>
      <w:b/>
      <w:bCs/>
    </w:rPr>
  </w:style>
  <w:style w:type="paragraph" w:styleId="a4">
    <w:name w:val="footnote text"/>
    <w:basedOn w:val="a"/>
    <w:link w:val="a5"/>
    <w:unhideWhenUsed/>
    <w:rsid w:val="000A07EE"/>
    <w:rPr>
      <w:rFonts w:ascii="Calibri" w:eastAsia="Times New Roman" w:hAnsi="Calibri" w:cs="Times New Roman"/>
      <w:sz w:val="20"/>
      <w:szCs w:val="20"/>
      <w:lang w:val="uk-UA" w:eastAsia="uk-UA"/>
    </w:rPr>
  </w:style>
  <w:style w:type="character" w:customStyle="1" w:styleId="a5">
    <w:name w:val="Текст сноски Знак"/>
    <w:basedOn w:val="a0"/>
    <w:link w:val="a4"/>
    <w:rsid w:val="000A07EE"/>
    <w:rPr>
      <w:rFonts w:ascii="Calibri" w:eastAsia="Times New Roman" w:hAnsi="Calibri" w:cs="Times New Roman"/>
      <w:sz w:val="20"/>
      <w:szCs w:val="20"/>
      <w:lang w:val="uk-UA" w:eastAsia="uk-UA"/>
    </w:rPr>
  </w:style>
  <w:style w:type="character" w:styleId="a6">
    <w:name w:val="footnote reference"/>
    <w:basedOn w:val="a0"/>
    <w:unhideWhenUsed/>
    <w:rsid w:val="000A07EE"/>
    <w:rPr>
      <w:vertAlign w:val="superscript"/>
    </w:rPr>
  </w:style>
  <w:style w:type="paragraph" w:customStyle="1" w:styleId="rmclqbkwxfmc1">
    <w:name w:val="rmclqbkw xfmc1"/>
    <w:basedOn w:val="a"/>
    <w:rsid w:val="000A07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oleObject" Target="embeddings/oleObject29.bin"/><Relationship Id="rId68" Type="http://schemas.openxmlformats.org/officeDocument/2006/relationships/image" Target="media/image31.wmf"/><Relationship Id="rId76" Type="http://schemas.openxmlformats.org/officeDocument/2006/relationships/image" Target="media/image35.wmf"/><Relationship Id="rId7" Type="http://schemas.openxmlformats.org/officeDocument/2006/relationships/image" Target="media/image1.wmf"/><Relationship Id="rId71" Type="http://schemas.openxmlformats.org/officeDocument/2006/relationships/oleObject" Target="embeddings/oleObject33.bin"/><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oleObject" Target="embeddings/oleObject24.bin"/><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28.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2.bin"/><Relationship Id="rId77" Type="http://schemas.openxmlformats.org/officeDocument/2006/relationships/oleObject" Target="embeddings/oleObject36.bin"/><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image" Target="media/image33.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oleObject" Target="embeddings/oleObject27.bin"/><Relationship Id="rId67" Type="http://schemas.openxmlformats.org/officeDocument/2006/relationships/oleObject" Target="embeddings/oleObject31.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5.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oleObject" Target="embeddings/oleObject2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6071</Words>
  <Characters>34605</Characters>
  <Application>Microsoft Office Word</Application>
  <DocSecurity>0</DocSecurity>
  <Lines>288</Lines>
  <Paragraphs>81</Paragraphs>
  <ScaleCrop>false</ScaleCrop>
  <Company>Microsoft</Company>
  <LinksUpToDate>false</LinksUpToDate>
  <CharactersWithSpaces>40595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Oleksiy Fedorchak</dc:creator>
  <cp:keywords/>
  <dc:description/>
  <cp:lastModifiedBy>Oleksiy Fedorchak</cp:lastModifiedBy>
  <cp:revision>2</cp:revision>
  <dcterms:created xsi:type="dcterms:W3CDTF">2015-11-14T07:26:00Z</dcterms:created>
  <dcterms:modified xsi:type="dcterms:W3CDTF">2015-11-14T07:26:00Z</dcterms:modified>
</cp:coreProperties>
</file>