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8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24"/>
        <w:gridCol w:w="7916"/>
      </w:tblGrid>
      <w:tr w14:paraId="3747E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1700" w:type="dxa"/>
            <w:tcMar>
              <w:top w:w="0" w:type="dxa"/>
              <w:left w:w="0" w:type="dxa"/>
              <w:bottom w:w="0" w:type="dxa"/>
              <w:right w:w="100" w:type="dxa"/>
            </w:tcMar>
            <w:vAlign w:val="center"/>
          </w:tcPr>
          <w:p w14:paraId="545FD5B1">
            <w:pPr>
              <w:spacing w:before="0" w:after="0"/>
              <w:jc w:val="center"/>
              <w:rPr>
                <w:rFonts w:hint="default"/>
                <w:lang w:val="en-US"/>
              </w:rPr>
            </w:pPr>
            <w:r>
              <w:rPr>
                <w:rFonts w:hint="default"/>
                <w:lang w:val="en-US"/>
              </w:rPr>
              <w:drawing>
                <wp:inline distT="0" distB="0" distL="114300" distR="114300">
                  <wp:extent cx="1143635" cy="531495"/>
                  <wp:effectExtent l="0" t="0" r="14605" b="1905"/>
                  <wp:docPr id="1" name="Picture 1" descr="vifo_logo_transpa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ifo_logo_transparent"/>
                          <pic:cNvPicPr>
                            <a:picLocks noChangeAspect="1"/>
                          </pic:cNvPicPr>
                        </pic:nvPicPr>
                        <pic:blipFill>
                          <a:blip r:embed="rId4"/>
                          <a:stretch>
                            <a:fillRect/>
                          </a:stretch>
                        </pic:blipFill>
                        <pic:spPr>
                          <a:xfrm>
                            <a:off x="0" y="0"/>
                            <a:ext cx="1143635" cy="531495"/>
                          </a:xfrm>
                          <a:prstGeom prst="rect">
                            <a:avLst/>
                          </a:prstGeom>
                        </pic:spPr>
                      </pic:pic>
                    </a:graphicData>
                  </a:graphic>
                </wp:inline>
              </w:drawing>
            </w:r>
          </w:p>
        </w:tc>
        <w:tc>
          <w:tcPr>
            <w:tcW w:w="8140" w:type="dxa"/>
            <w:tcMar>
              <w:top w:w="0" w:type="dxa"/>
              <w:left w:w="120" w:type="dxa"/>
              <w:bottom w:w="0" w:type="dxa"/>
              <w:right w:w="0" w:type="dxa"/>
            </w:tcMar>
            <w:vAlign w:val="center"/>
          </w:tcPr>
          <w:p w14:paraId="24228B7E">
            <w:pPr>
              <w:spacing w:before="0" w:after="60"/>
              <w:jc w:val="center"/>
            </w:pPr>
            <w:r>
              <w:rPr>
                <w:rFonts w:ascii="Times New Roman" w:hAnsi="Times New Roman" w:eastAsia="Times New Roman" w:cs="Times New Roman"/>
                <w:b/>
                <w:bCs/>
                <w:color w:val="1A3A6B"/>
                <w:sz w:val="48"/>
                <w:szCs w:val="48"/>
              </w:rPr>
              <w:t>Vision Forge</w:t>
            </w:r>
          </w:p>
          <w:p w14:paraId="66C1DA35">
            <w:pPr>
              <w:spacing w:before="0" w:after="40"/>
              <w:jc w:val="center"/>
            </w:pPr>
            <w:r>
              <w:rPr>
                <w:rFonts w:ascii="Times New Roman" w:hAnsi="Times New Roman" w:eastAsia="Times New Roman" w:cs="Times New Roman"/>
                <w:color w:val="000000"/>
                <w:sz w:val="17"/>
                <w:szCs w:val="17"/>
              </w:rPr>
              <w:t>NUTECH, Islamabad (Pakistan).  Phone: +92 310 5826985</w:t>
            </w:r>
          </w:p>
          <w:p w14:paraId="19481061">
            <w:pPr>
              <w:spacing w:before="0" w:after="0"/>
              <w:jc w:val="center"/>
            </w:pPr>
            <w:r>
              <w:rPr>
                <w:rFonts w:ascii="Times New Roman" w:hAnsi="Times New Roman" w:eastAsia="Times New Roman" w:cs="Times New Roman"/>
                <w:color w:val="000000"/>
                <w:sz w:val="17"/>
                <w:szCs w:val="17"/>
              </w:rPr>
              <w:t xml:space="preserve">E-mail:  </w:t>
            </w:r>
            <w:r>
              <w:rPr>
                <w:rFonts w:ascii="Times New Roman" w:hAnsi="Times New Roman" w:eastAsia="Times New Roman" w:cs="Times New Roman"/>
                <w:color w:val="0000EE"/>
                <w:sz w:val="17"/>
                <w:szCs w:val="17"/>
                <w:u w:val="single" w:color="0000EE"/>
              </w:rPr>
              <w:t>msuhailserwer@gmail.com</w:t>
            </w:r>
          </w:p>
        </w:tc>
      </w:tr>
    </w:tbl>
    <w:p w14:paraId="24ACFDB8">
      <w:pPr>
        <w:pBdr>
          <w:bottom w:val="single" w:color="1A3A6B" w:sz="28" w:space="0"/>
        </w:pBdr>
        <w:spacing w:before="120" w:after="0"/>
      </w:pPr>
    </w:p>
    <w:p w14:paraId="3E3C5761">
      <w:pPr>
        <w:pBdr>
          <w:bottom w:val="single" w:color="C8A84B" w:sz="8" w:space="0"/>
        </w:pBdr>
        <w:spacing w:before="0" w:after="0"/>
      </w:pPr>
    </w:p>
    <w:p w14:paraId="545A86C5">
      <w:pPr>
        <w:spacing w:before="180" w:after="50"/>
        <w:jc w:val="left"/>
      </w:pPr>
      <w:r>
        <w:rPr>
          <w:rFonts w:ascii="Times New Roman" w:hAnsi="Times New Roman" w:eastAsia="Times New Roman" w:cs="Times New Roman"/>
          <w:color w:val="000000"/>
          <w:sz w:val="22"/>
          <w:szCs w:val="22"/>
        </w:rPr>
        <w:t>VF/INV/2026/001</w:t>
      </w:r>
    </w:p>
    <w:p w14:paraId="77882874">
      <w:pPr>
        <w:pBdr>
          <w:top w:val="none" w:color="auto" w:sz="0" w:space="0"/>
          <w:left w:val="none" w:color="auto" w:sz="0" w:space="0"/>
          <w:bottom w:val="none" w:color="auto" w:sz="0" w:space="0"/>
          <w:right w:val="none" w:color="auto" w:sz="0" w:space="0"/>
          <w:between w:val="none" w:color="auto" w:sz="0" w:space="0"/>
        </w:pBdr>
        <w:spacing w:before="0" w:after="320"/>
        <w:jc w:val="left"/>
      </w:pPr>
      <w:r>
        <w:rPr>
          <w:rFonts w:ascii="Times New Roman" w:hAnsi="Times New Roman" w:eastAsia="Times New Roman" w:cs="Times New Roman"/>
          <w:color w:val="000000"/>
          <w:sz w:val="22"/>
          <w:szCs w:val="22"/>
        </w:rPr>
        <w:t>Dated:  May 16, 2026</w:t>
      </w:r>
      <w:bookmarkStart w:id="0" w:name="_GoBack"/>
      <w:bookmarkEnd w:id="0"/>
    </w:p>
    <w:p w14:paraId="1A4BBE10">
      <w:pPr>
        <w:spacing w:before="0" w:after="340"/>
        <w:jc w:val="center"/>
      </w:pPr>
      <w:r>
        <w:rPr>
          <w:rFonts w:ascii="Times New Roman" w:hAnsi="Times New Roman" w:eastAsia="Times New Roman" w:cs="Times New Roman"/>
          <w:b/>
          <w:bCs/>
          <w:sz w:val="26"/>
          <w:szCs w:val="26"/>
          <w:u w:val="single" w:color="000000"/>
        </w:rPr>
        <w:t>INVITATION LETTER</w:t>
      </w:r>
    </w:p>
    <w:p w14:paraId="413A173C">
      <w:pPr>
        <w:spacing w:before="0" w:after="220" w:line="360" w:lineRule="auto"/>
        <w:jc w:val="both"/>
      </w:pPr>
      <w:r>
        <w:rPr>
          <w:rFonts w:ascii="Times New Roman" w:hAnsi="Times New Roman" w:eastAsia="Times New Roman" w:cs="Times New Roman"/>
          <w:sz w:val="24"/>
          <w:szCs w:val="24"/>
        </w:rPr>
        <w:t xml:space="preserve">This is to formally certify that </w:t>
      </w:r>
      <w:r>
        <w:rPr>
          <w:rFonts w:ascii="Times New Roman" w:hAnsi="Times New Roman" w:eastAsia="Times New Roman" w:cs="Times New Roman"/>
          <w:b/>
          <w:bCs/>
          <w:sz w:val="24"/>
          <w:szCs w:val="24"/>
          <w:u w:val="single"/>
        </w:rPr>
        <w:t>Vision Forge</w:t>
      </w:r>
      <w:r>
        <w:rPr>
          <w:rFonts w:ascii="Times New Roman" w:hAnsi="Times New Roman" w:eastAsia="Times New Roman" w:cs="Times New Roman"/>
          <w:sz w:val="24"/>
          <w:szCs w:val="24"/>
        </w:rPr>
        <w:t xml:space="preserve"> is a forward-thinking intellectual and social initiative headquartered at the National University of Technology (NUTECH), Islamabad, dedicated to developing disciplined minds and purpose-driven leaders. The initiative operates at the intersection of education, leadership development, and social impact, and is committed to empowering youth with critical thinking, strategic awareness, and a strong sense of responsibility.</w:t>
      </w:r>
    </w:p>
    <w:p w14:paraId="4854FDA3">
      <w:pPr>
        <w:spacing w:before="0" w:after="220" w:line="360" w:lineRule="auto"/>
        <w:jc w:val="both"/>
      </w:pPr>
      <w:r>
        <w:rPr>
          <w:rFonts w:ascii="Times New Roman" w:hAnsi="Times New Roman" w:eastAsia="Times New Roman" w:cs="Times New Roman"/>
          <w:sz w:val="24"/>
          <w:szCs w:val="24"/>
        </w:rPr>
        <w:t xml:space="preserve">Vision Forge provides structured educational programs, mentorship, learning communities, and practical seminars that equip individuals with the mindset and skills necessary for long-term impact. The initiative is guided by three strategic pillars: </w:t>
      </w:r>
      <w:r>
        <w:rPr>
          <w:rFonts w:ascii="Times New Roman" w:hAnsi="Times New Roman" w:eastAsia="Times New Roman" w:cs="Times New Roman"/>
          <w:b/>
          <w:bCs/>
          <w:sz w:val="24"/>
          <w:szCs w:val="24"/>
        </w:rPr>
        <w:t>Mind</w:t>
      </w:r>
      <w:r>
        <w:rPr>
          <w:rFonts w:ascii="Times New Roman" w:hAnsi="Times New Roman" w:eastAsia="Times New Roman" w:cs="Times New Roman"/>
          <w:sz w:val="24"/>
          <w:szCs w:val="24"/>
        </w:rPr>
        <w:t xml:space="preserve"> (critical thinking, discipline, and intellectual growth), </w:t>
      </w:r>
      <w:r>
        <w:rPr>
          <w:rFonts w:ascii="Times New Roman" w:hAnsi="Times New Roman" w:eastAsia="Times New Roman" w:cs="Times New Roman"/>
          <w:b/>
          <w:bCs/>
          <w:sz w:val="24"/>
          <w:szCs w:val="24"/>
        </w:rPr>
        <w:t>Strategy</w:t>
      </w:r>
      <w:r>
        <w:rPr>
          <w:rFonts w:ascii="Times New Roman" w:hAnsi="Times New Roman" w:eastAsia="Times New Roman" w:cs="Times New Roman"/>
          <w:sz w:val="24"/>
          <w:szCs w:val="24"/>
        </w:rPr>
        <w:t xml:space="preserve"> (leadership models, history, and decision-making), and </w:t>
      </w:r>
      <w:r>
        <w:rPr>
          <w:rFonts w:ascii="Times New Roman" w:hAnsi="Times New Roman" w:eastAsia="Times New Roman" w:cs="Times New Roman"/>
          <w:b/>
          <w:bCs/>
          <w:sz w:val="24"/>
          <w:szCs w:val="24"/>
        </w:rPr>
        <w:t>Purpose</w:t>
      </w:r>
      <w:r>
        <w:rPr>
          <w:rFonts w:ascii="Times New Roman" w:hAnsi="Times New Roman" w:eastAsia="Times New Roman" w:cs="Times New Roman"/>
          <w:sz w:val="24"/>
          <w:szCs w:val="24"/>
        </w:rPr>
        <w:t xml:space="preserve"> (social contribution and meaningful impact). Its core values of loyalty, integrity, discipline, service, strategic thinking, and continuous growth form the foundation of all its endeavors.</w:t>
      </w:r>
    </w:p>
    <w:p w14:paraId="1196CF18">
      <w:pPr>
        <w:spacing w:before="0" w:after="220" w:line="360" w:lineRule="auto"/>
        <w:jc w:val="both"/>
      </w:pPr>
      <w:r>
        <w:rPr>
          <w:rFonts w:ascii="Times New Roman" w:hAnsi="Times New Roman" w:eastAsia="Times New Roman" w:cs="Times New Roman"/>
          <w:sz w:val="24"/>
          <w:szCs w:val="24"/>
        </w:rPr>
        <w:t xml:space="preserve">After thorough research and careful deliberation, Vision Forge formally invites </w:t>
      </w:r>
      <w:r>
        <w:rPr>
          <w:rFonts w:ascii="Times New Roman" w:hAnsi="Times New Roman" w:eastAsia="Times New Roman" w:cs="Times New Roman"/>
          <w:b/>
          <w:bCs/>
          <w:sz w:val="24"/>
          <w:szCs w:val="24"/>
          <w:u w:val="single"/>
        </w:rPr>
        <w:t>Mr. Habibulla Naji</w:t>
      </w:r>
      <w:r>
        <w:rPr>
          <w:rFonts w:ascii="Times New Roman" w:hAnsi="Times New Roman" w:eastAsia="Times New Roman" w:cs="Times New Roman"/>
          <w:sz w:val="24"/>
          <w:szCs w:val="24"/>
        </w:rPr>
        <w:t xml:space="preserve"> to join the team as a </w:t>
      </w:r>
      <w:r>
        <w:rPr>
          <w:rFonts w:ascii="Times New Roman" w:hAnsi="Times New Roman" w:eastAsia="Times New Roman" w:cs="Times New Roman"/>
          <w:b/>
          <w:bCs/>
          <w:sz w:val="24"/>
          <w:szCs w:val="24"/>
          <w:u w:val="single"/>
        </w:rPr>
        <w:t>Seminar Speaker and Educator</w:t>
      </w:r>
      <w:r>
        <w:rPr>
          <w:rFonts w:ascii="Times New Roman" w:hAnsi="Times New Roman" w:eastAsia="Times New Roman" w:cs="Times New Roman"/>
          <w:sz w:val="24"/>
          <w:szCs w:val="24"/>
        </w:rPr>
        <w:t>. Mr. Naji has been identified as an individual of exceptional calibre whose knowledge, expertise, and vision align seamlessly with the mission and values of Vision Forge. He will be responsible for designing and delivering impactful seminars for students, young professionals, and the broader youth community, contributing meaningfully to the intellectual and leadership development programs of the initiative.</w:t>
      </w:r>
    </w:p>
    <w:p w14:paraId="0116BA9D">
      <w:pPr>
        <w:spacing w:before="0" w:after="2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Should Mr. Naji be willing to accept this invitation, Vision Forge respectfully requests that he provide the following at his earliest convenience: his </w:t>
      </w:r>
      <w:r>
        <w:rPr>
          <w:rFonts w:ascii="Times New Roman" w:hAnsi="Times New Roman" w:eastAsia="Times New Roman" w:cs="Times New Roman"/>
          <w:b/>
          <w:bCs/>
          <w:sz w:val="24"/>
          <w:szCs w:val="24"/>
        </w:rPr>
        <w:t>educational background</w:t>
      </w:r>
      <w:r>
        <w:rPr>
          <w:rFonts w:ascii="Times New Roman" w:hAnsi="Times New Roman" w:eastAsia="Times New Roman" w:cs="Times New Roman"/>
          <w:sz w:val="24"/>
          <w:szCs w:val="24"/>
        </w:rPr>
        <w:t xml:space="preserve"> (academic qualifications, fields of study, and institutions attended), his </w:t>
      </w:r>
      <w:r>
        <w:rPr>
          <w:rFonts w:ascii="Times New Roman" w:hAnsi="Times New Roman" w:eastAsia="Times New Roman" w:cs="Times New Roman"/>
          <w:b/>
          <w:bCs/>
          <w:sz w:val="24"/>
          <w:szCs w:val="24"/>
        </w:rPr>
        <w:t>professional and work experience</w:t>
      </w:r>
      <w:r>
        <w:rPr>
          <w:rFonts w:ascii="Times New Roman" w:hAnsi="Times New Roman" w:eastAsia="Times New Roman" w:cs="Times New Roman"/>
          <w:sz w:val="24"/>
          <w:szCs w:val="24"/>
        </w:rPr>
        <w:t xml:space="preserve"> (relevant roles, organizations, and areas of expertise), and any </w:t>
      </w:r>
      <w:r>
        <w:rPr>
          <w:rFonts w:ascii="Times New Roman" w:hAnsi="Times New Roman" w:eastAsia="Times New Roman" w:cs="Times New Roman"/>
          <w:b/>
          <w:bCs/>
          <w:sz w:val="24"/>
          <w:szCs w:val="24"/>
        </w:rPr>
        <w:t>notable achievements</w:t>
      </w:r>
      <w:r>
        <w:rPr>
          <w:rFonts w:ascii="Times New Roman" w:hAnsi="Times New Roman" w:eastAsia="Times New Roman" w:cs="Times New Roman"/>
          <w:sz w:val="24"/>
          <w:szCs w:val="24"/>
        </w:rPr>
        <w:t xml:space="preserve"> (seminars delivered, publications, awards, or community contributions) he considers significant.</w:t>
      </w:r>
    </w:p>
    <w:p w14:paraId="36885315">
      <w:pPr>
        <w:spacing w:before="0" w:after="220" w:line="360" w:lineRule="auto"/>
        <w:jc w:val="both"/>
        <w:rPr>
          <w:rFonts w:ascii="Times New Roman" w:hAnsi="Times New Roman" w:eastAsia="Times New Roman" w:cs="Times New Roman"/>
          <w:sz w:val="24"/>
          <w:szCs w:val="24"/>
        </w:rPr>
      </w:pPr>
    </w:p>
    <w:p w14:paraId="1CE03849">
      <w:pPr>
        <w:spacing w:before="0" w:after="220" w:line="360" w:lineRule="auto"/>
        <w:jc w:val="both"/>
        <w:rPr>
          <w:rFonts w:ascii="Times New Roman" w:hAnsi="Times New Roman" w:eastAsia="Times New Roman" w:cs="Times New Roman"/>
          <w:sz w:val="24"/>
          <w:szCs w:val="24"/>
        </w:rPr>
      </w:pPr>
    </w:p>
    <w:p w14:paraId="487E8F9D">
      <w:pPr>
        <w:spacing w:before="0" w:after="22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Vision Forge is committed to ensuring a respectful, purposeful, and impactful collaboration. </w:t>
      </w:r>
    </w:p>
    <w:p w14:paraId="2C85B528">
      <w:pPr>
        <w:spacing w:before="0" w:after="220" w:line="360" w:lineRule="auto"/>
        <w:jc w:val="both"/>
      </w:pPr>
      <w:r>
        <w:rPr>
          <w:rFonts w:ascii="Times New Roman" w:hAnsi="Times New Roman" w:eastAsia="Times New Roman" w:cs="Times New Roman"/>
          <w:b/>
          <w:bCs/>
          <w:sz w:val="24"/>
          <w:szCs w:val="24"/>
          <w:u w:val="single"/>
        </w:rPr>
        <w:t>The validity of this invitation letter is 3 months from the date of issuance of this letter.</w:t>
      </w:r>
    </w:p>
    <w:p w14:paraId="6852D943">
      <w:pPr>
        <w:spacing w:before="0" w:after="60"/>
        <w:jc w:val="left"/>
      </w:pPr>
      <w:r>
        <w:rPr>
          <w:rFonts w:ascii="Times New Roman" w:hAnsi="Times New Roman" w:eastAsia="Times New Roman" w:cs="Times New Roman"/>
          <w:b/>
          <w:bCs/>
          <w:sz w:val="24"/>
          <w:szCs w:val="24"/>
        </w:rPr>
        <w:t>(Suhil Sarwar)</w:t>
      </w:r>
    </w:p>
    <w:p w14:paraId="631370AE">
      <w:pPr>
        <w:spacing w:before="0" w:after="0"/>
        <w:jc w:val="left"/>
      </w:pPr>
      <w:r>
        <w:rPr>
          <w:rFonts w:ascii="Times New Roman" w:hAnsi="Times New Roman" w:eastAsia="Times New Roman" w:cs="Times New Roman"/>
          <w:sz w:val="22"/>
          <w:szCs w:val="22"/>
        </w:rPr>
        <w:t>Founder &amp; Vision Architect</w:t>
      </w:r>
    </w:p>
    <w:p w14:paraId="51E4D488">
      <w:pPr>
        <w:spacing w:before="0" w:after="0"/>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t>Vision Forge</w:t>
      </w:r>
    </w:p>
    <w:p w14:paraId="6A5D2C70">
      <w:pPr>
        <w:spacing w:before="0" w:after="0"/>
        <w:jc w:val="left"/>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anchor distT="0" distB="0" distL="114300" distR="114300" simplePos="0" relativeHeight="251659264" behindDoc="0" locked="0" layoutInCell="1" allowOverlap="1">
            <wp:simplePos x="0" y="0"/>
            <wp:positionH relativeFrom="column">
              <wp:posOffset>81280</wp:posOffset>
            </wp:positionH>
            <wp:positionV relativeFrom="paragraph">
              <wp:posOffset>153035</wp:posOffset>
            </wp:positionV>
            <wp:extent cx="1499870" cy="1042670"/>
            <wp:effectExtent l="0" t="0" r="0" b="8890"/>
            <wp:wrapNone/>
            <wp:docPr id="2" name="Picture 2" descr="suhil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uhil_signature"/>
                    <pic:cNvPicPr>
                      <a:picLocks noChangeAspect="1"/>
                    </pic:cNvPicPr>
                  </pic:nvPicPr>
                  <pic:blipFill>
                    <a:blip r:embed="rId5"/>
                    <a:stretch>
                      <a:fillRect/>
                    </a:stretch>
                  </pic:blipFill>
                  <pic:spPr>
                    <a:xfrm>
                      <a:off x="0" y="0"/>
                      <a:ext cx="1499870" cy="1042670"/>
                    </a:xfrm>
                    <a:prstGeom prst="rect">
                      <a:avLst/>
                    </a:prstGeom>
                  </pic:spPr>
                </pic:pic>
              </a:graphicData>
            </a:graphic>
          </wp:anchor>
        </w:drawing>
      </w:r>
    </w:p>
    <w:p w14:paraId="6ED57BF2">
      <w:pPr>
        <w:spacing w:before="0" w:after="0"/>
        <w:jc w:val="left"/>
        <w:rPr>
          <w:rFonts w:ascii="Times New Roman" w:hAnsi="Times New Roman" w:eastAsia="Times New Roman" w:cs="Times New Roman"/>
          <w:sz w:val="22"/>
          <w:szCs w:val="22"/>
        </w:rPr>
      </w:pPr>
    </w:p>
    <w:p w14:paraId="3DF57001">
      <w:pPr>
        <w:spacing w:before="0" w:after="0"/>
        <w:jc w:val="left"/>
        <w:rPr>
          <w:rFonts w:ascii="Times New Roman" w:hAnsi="Times New Roman" w:eastAsia="Times New Roman" w:cs="Times New Roman"/>
          <w:sz w:val="22"/>
          <w:szCs w:val="22"/>
        </w:rPr>
      </w:pPr>
    </w:p>
    <w:p w14:paraId="7EEEF118">
      <w:pPr>
        <w:spacing w:before="0" w:after="0"/>
        <w:jc w:val="left"/>
        <w:rPr>
          <w:rFonts w:ascii="Times New Roman" w:hAnsi="Times New Roman" w:eastAsia="Times New Roman" w:cs="Times New Roman"/>
          <w:sz w:val="22"/>
          <w:szCs w:val="22"/>
        </w:rPr>
      </w:pPr>
    </w:p>
    <w:p w14:paraId="44879B3B">
      <w:pPr>
        <w:spacing w:before="0" w:after="0"/>
        <w:jc w:val="left"/>
        <w:rPr>
          <w:rFonts w:ascii="Times New Roman" w:hAnsi="Times New Roman" w:eastAsia="Times New Roman" w:cs="Times New Roman"/>
          <w:sz w:val="22"/>
          <w:szCs w:val="22"/>
        </w:rPr>
      </w:pPr>
    </w:p>
    <w:p w14:paraId="2BFCEC34">
      <w:pPr>
        <w:spacing w:before="0" w:after="0"/>
        <w:jc w:val="left"/>
        <w:rPr>
          <w:rFonts w:ascii="Times New Roman" w:hAnsi="Times New Roman" w:eastAsia="Times New Roman" w:cs="Times New Roman"/>
          <w:sz w:val="22"/>
          <w:szCs w:val="22"/>
        </w:rPr>
      </w:pPr>
    </w:p>
    <w:p w14:paraId="60FF9C82">
      <w:pPr>
        <w:spacing w:before="0" w:after="0"/>
        <w:jc w:val="left"/>
        <w:rPr>
          <w:rFonts w:ascii="Times New Roman" w:hAnsi="Times New Roman" w:eastAsia="Times New Roman" w:cs="Times New Roman"/>
          <w:sz w:val="22"/>
          <w:szCs w:val="22"/>
        </w:rPr>
      </w:pPr>
    </w:p>
    <w:p w14:paraId="0D49DE74">
      <w:pPr>
        <w:pBdr>
          <w:top w:val="single" w:color="1A3A6B" w:sz="28" w:space="10"/>
        </w:pBdr>
        <w:spacing w:before="340" w:after="0"/>
      </w:pPr>
    </w:p>
    <w:p w14:paraId="211EB885">
      <w:pPr>
        <w:pBdr>
          <w:top w:val="single" w:color="C8A84B" w:sz="8" w:space="2"/>
        </w:pBdr>
        <w:spacing w:before="0" w:after="60"/>
      </w:pPr>
    </w:p>
    <w:p w14:paraId="189BA4CE">
      <w:pPr>
        <w:spacing w:before="0" w:after="0"/>
        <w:jc w:val="center"/>
      </w:pPr>
      <w:r>
        <w:rPr>
          <w:rFonts w:ascii="Arial" w:hAnsi="Arial" w:eastAsia="Arial" w:cs="Arial"/>
          <w:i/>
          <w:iCs/>
          <w:color w:val="777777"/>
          <w:sz w:val="15"/>
          <w:szCs w:val="15"/>
        </w:rPr>
        <w:t>Vision Forge  —  Building Minds  •  Forging Leaders  •  Creating Purpose</w:t>
      </w:r>
    </w:p>
    <w:sectPr>
      <w:pgSz w:w="12240" w:h="15840"/>
      <w:pgMar w:top="860" w:right="1150" w:bottom="900" w:left="11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6D6558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339</Words>
  <Characters>2192</Characters>
  <TotalTime>13</TotalTime>
  <ScaleCrop>false</ScaleCrop>
  <LinksUpToDate>false</LinksUpToDate>
  <CharactersWithSpaces>2525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2026-05-16T12:41:00Z</dcterms:created>
  <dc:creator>Un-named</dc:creator>
  <cp:lastModifiedBy>Ahmad Komail Zafari</cp:lastModifiedBy>
  <dcterms:modified xsi:type="dcterms:W3CDTF">2026-05-16T13:05:57Z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eyJoZGlkIjoiZmZiNDVlZGU2YTA0ZjI1YzIzOTk5N2U4MjJmM2FlY2UiLCJ1c2VySWQiOiIxOTQyMDMyOTM2NDE5In0=</vt:lpwstr>
  </property>
  <property fmtid="{D5CDD505-2E9C-101B-9397-08002B2CF9AE}" pid="3" name="KSOProductBuildVer">
    <vt:lpwstr>1033-12.1.0.26372</vt:lpwstr>
  </property>
  <property fmtid="{D5CDD505-2E9C-101B-9397-08002B2CF9AE}" pid="4" name="ICV">
    <vt:lpwstr>0D6CC614A7DA4FC7AB85A66F78D95E2B_13</vt:lpwstr>
  </property>
</Properties>
</file>