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rPr>
          <w:rFonts w:ascii="Arial" w:hAnsi="Arial" w:eastAsia="Arial" w:cs="Arial"/>
          <w:b/>
          <w:sz w:val="48"/>
          <w:rtl w:val="1"/>
          <w:lang w:bidi="ar-SA" w:val="ar-SA"/>
        </w:rPr>
        <w:t>وثيقة متطلبات الأعمال - منصة سهل المطور</w:t>
      </w:r>
    </w:p>
    <w:p>
      <w:pPr>
        <w:jc w:val="center"/>
      </w:pPr>
      <w:r>
        <w:rPr>
          <w:rFonts w:ascii="Arial" w:hAnsi="Arial"/>
          <w:b/>
          <w:sz w:val="28"/>
        </w:rPr>
        <w:t>Business Requirements Document (BRD) - Sahel Developer Platform</w:t>
      </w:r>
    </w:p>
    <w:p>
      <w:pPr>
        <w:jc w:val="center"/>
      </w:pPr>
      <w:r>
        <w:rPr>
          <w:rFonts w:ascii="Arial" w:hAnsi="Arial" w:eastAsia="Arial" w:cs="Arial"/>
          <w:b/>
          <w:sz w:val="30"/>
          <w:rtl w:val="1"/>
          <w:lang w:bidi="ar-SA" w:val="ar-SA"/>
        </w:rPr>
        <w:br/>
        <w:t>منصة سهل المطور للجهات غير الربحية في المملكة العربية السعودية</w:t>
      </w:r>
    </w:p>
    <w:p>
      <w:pPr>
        <w:jc w:val="center"/>
      </w:pPr>
      <w:r>
        <w:rPr>
          <w:rFonts w:ascii="Arial" w:hAnsi="Arial" w:eastAsia="Arial" w:cs="Arial"/>
          <w:sz w:val="22"/>
          <w:rtl w:val="1"/>
          <w:lang w:bidi="ar-SA" w:val="ar-SA"/>
        </w:rPr>
        <w:br/>
        <w:t>رمز الوثيقة: BRD-SAHEL-001</w:t>
        <w:br/>
        <w:t>الإصدار: 1.0</w:t>
        <w:br/>
        <w:t>الحالة: خط أساس ملزم للتنفيذ</w:t>
        <w:br/>
        <w:t>المالك: شركة رؤى الحلول لتقنية المعلومات</w:t>
      </w:r>
    </w:p>
    <w:p>
      <w:pPr>
        <w:jc w:val="center"/>
      </w:pPr>
      <w:r>
        <w:rPr>
          <w:rFonts w:ascii="Arial" w:hAnsi="Arial" w:eastAsia="Arial" w:cs="Arial"/>
          <w:b/>
          <w:sz w:val="22"/>
          <w:rtl w:val="1"/>
          <w:lang w:bidi="ar-SA" w:val="ar-SA"/>
        </w:rPr>
        <w:br/>
        <w:t>هذه الوثيقة مرجع ملزم لأعمال التحليل والتصميم والبرمجة التي ينفذها Claude Code أو Codex أو أي وكيل برمجي آخر على المشروع. لا يجوز اعتبارها مجرد إرشادات اختيارية.</w:t>
      </w:r>
    </w:p>
    <w:p>
      <w:r>
        <w:br w:type="page"/>
      </w:r>
    </w:p>
    <w:p>
      <w:pPr>
        <w:pStyle w:val="Heading1"/>
        <w:jc w:val="right"/>
        <w:bidi w:val="1"/>
      </w:pPr>
      <w:r>
        <w:rPr>
          <w:rFonts w:ascii="Arial" w:hAnsi="Arial" w:eastAsia="Arial" w:cs="Arial"/>
          <w:b/>
          <w:sz w:val="34"/>
          <w:rtl w:val="1"/>
          <w:lang w:bidi="ar-SA" w:val="ar-SA"/>
        </w:rPr>
        <w:t>1. الغرض من الوثيقة</w:t>
      </w:r>
    </w:p>
    <w:p>
      <w:pPr>
        <w:spacing w:after="100"/>
        <w:jc w:val="right"/>
        <w:bidi w:val="1"/>
      </w:pPr>
      <w:r>
        <w:rPr>
          <w:rFonts w:ascii="Arial" w:hAnsi="Arial" w:eastAsia="Arial" w:cs="Arial"/>
          <w:rtl w:val="1"/>
          <w:lang w:bidi="ar-SA" w:val="ar-SA"/>
        </w:rPr>
        <w:t>تحدد هذه الوثيقة احتياجات الأعمال والنطاق والنتائج المتوقعة والقواعد الملزمة لمنصة سهل المطور، وهي المرجع الأعلى لما يجب أن تبنيه المنصة ولماذا. وتعد هذه النسخة خط أساس تعاقديًا لمشروع جديد بالكامل (Greenfield). لا توجد منصة سابقة أو قاعدة بيانات أو كود موروث يجب الحفاظ عليه؛ ويبدأ Claude Code إنشاء المستودع والبنية والتطبيق من الصفر وفق المراحل والقرارات المقفلة في هذه الوثيقة ووثيقة SRS-SAHEL-001.</w:t>
      </w:r>
    </w:p>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صفة الوثيقة التعاقدية</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كل متطلب موسوم بكلمة «ملزم» أو «يجب» أو «يحظر» يعد شرطًا غير اختياري على Claude Code وأي وكيل برمجي يعمل على المشروع. لا يجوز تفسير الصمت على أنه سماح بتغيير التقنية أو حذف وظيفة أو تبسيط نطاق قائم.</w:t>
            </w:r>
          </w:p>
        </w:tc>
      </w:tr>
    </w:tbl>
    <w:p>
      <w:pPr>
        <w:pStyle w:val="Heading1"/>
        <w:jc w:val="right"/>
        <w:bidi w:val="1"/>
      </w:pPr>
      <w:r>
        <w:rPr>
          <w:rFonts w:ascii="Arial" w:hAnsi="Arial" w:eastAsia="Arial" w:cs="Arial"/>
          <w:b/>
          <w:sz w:val="34"/>
          <w:rtl w:val="1"/>
          <w:lang w:bidi="ar-SA" w:val="ar-SA"/>
        </w:rPr>
        <w:t>2. مبدأ مصدر الحقيقة</w:t>
      </w:r>
    </w:p>
    <w:p>
      <w:pPr>
        <w:pStyle w:val="ListBullet"/>
        <w:jc w:val="right"/>
        <w:bidi w:val="1"/>
      </w:pPr>
      <w:r>
        <w:rPr>
          <w:rFonts w:ascii="Arial" w:hAnsi="Arial" w:eastAsia="Arial" w:cs="Arial"/>
          <w:rtl w:val="1"/>
          <w:lang w:bidi="ar-SA" w:val="ar-SA"/>
        </w:rPr>
        <w:t>هذه الوثيقة تحدد متطلبات الأعمال، بينما تحدد وثيقة SRS-SAHEL-001 السلوك البرمجي والتقني التفصيلي.</w:t>
      </w:r>
    </w:p>
    <w:p>
      <w:pPr>
        <w:pStyle w:val="ListBullet"/>
        <w:jc w:val="right"/>
        <w:bidi w:val="1"/>
      </w:pPr>
      <w:r>
        <w:rPr>
          <w:rFonts w:ascii="Arial" w:hAnsi="Arial" w:eastAsia="Arial" w:cs="Arial"/>
          <w:rtl w:val="1"/>
          <w:lang w:bidi="ar-SA" w:val="ar-SA"/>
        </w:rPr>
        <w:t>المشروع Greenfield؛ فإذا نشأ أثناء التنفيذ تعارض بين كود تم إنشاؤه في مرحلة سابقة والوثائق المعتمدة، تكون الوثائق هي المرجع الأعلى، ويتوقف الوكيل عن أي تغيير واسع ويعرض الفجوة والأثر قبل التنفيذ.</w:t>
      </w:r>
    </w:p>
    <w:p>
      <w:pPr>
        <w:pStyle w:val="ListBullet"/>
        <w:jc w:val="right"/>
        <w:bidi w:val="1"/>
      </w:pPr>
      <w:r>
        <w:rPr>
          <w:rFonts w:ascii="Arial" w:hAnsi="Arial" w:eastAsia="Arial" w:cs="Arial"/>
          <w:rtl w:val="1"/>
          <w:lang w:bidi="ar-SA" w:val="ar-SA"/>
        </w:rPr>
        <w:t>لا يجوز اختراع متطلب أو حذف متطلب أو دمج موديولين أو تغيير دورة عمل اعتمادًا على «أفضل ممارسة» ما لم يطلب مالك المشروع ذلك صراحة.</w:t>
      </w:r>
    </w:p>
    <w:p>
      <w:pPr>
        <w:pStyle w:val="ListBullet"/>
        <w:jc w:val="right"/>
        <w:bidi w:val="1"/>
      </w:pPr>
      <w:r>
        <w:rPr>
          <w:rFonts w:ascii="Arial" w:hAnsi="Arial" w:eastAsia="Arial" w:cs="Arial"/>
          <w:rtl w:val="1"/>
          <w:lang w:bidi="ar-SA" w:val="ar-SA"/>
        </w:rPr>
        <w:t>كل مرحلة معتمدة بعد دمجها في develop تصبح خط أساس محميًا للمراحل اللاحقة؛ لا يجوز كسرها أو إعادة بنائها بلا سبب مرتبط مباشرة بالمهمة واعتماد واضح.</w:t>
      </w:r>
    </w:p>
    <w:p>
      <w:pPr>
        <w:pStyle w:val="Heading1"/>
        <w:jc w:val="right"/>
        <w:bidi w:val="1"/>
      </w:pPr>
      <w:r>
        <w:rPr>
          <w:rFonts w:ascii="Arial" w:hAnsi="Arial" w:eastAsia="Arial" w:cs="Arial"/>
          <w:b/>
          <w:sz w:val="34"/>
          <w:rtl w:val="1"/>
          <w:lang w:bidi="ar-SA" w:val="ar-SA"/>
        </w:rPr>
        <w:t>3. الرؤية التنفيذية للمنصة</w:t>
      </w:r>
    </w:p>
    <w:p>
      <w:pPr>
        <w:spacing w:after="100"/>
        <w:jc w:val="right"/>
        <w:bidi w:val="1"/>
      </w:pPr>
      <w:r>
        <w:rPr>
          <w:rFonts w:ascii="Arial" w:hAnsi="Arial" w:eastAsia="Arial" w:cs="Arial"/>
          <w:rtl w:val="1"/>
          <w:lang w:bidi="ar-SA" w:val="ar-SA"/>
        </w:rPr>
        <w:t>سهل المطور منصة سحابية عربية أولًا ومتعددة الجهات (Multi-Tenant SaaS) مخصصة للقطاع غير الربحي في المملكة العربية السعودية. تخدم جمعية أو مؤسسة مستقلة داخل بيئة معزولة، مع تشغيل مركزي من شركة رؤى الحلول لتقنية المعلومات، وقاعدة كود موحدة قابلة للتوسع.</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المجال</w:t>
            </w:r>
          </w:p>
        </w:tc>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الهدف التجاري الملزم</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إدارة الجهات</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تهيئة كل جمعية كبيئة مستقلة في البيانات والهوية والصلاحيات والإعدادات.</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الحوكمة</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تحويل الحوكمة من ملفات ساكنة إلى دورة تشغيلية قابلة للإثبات والتدقيق.</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المستفيدون</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سجل حالات متكامل يمنع التكرار ويدعم التحقق والاستحقاق والمساعدات والخصوصية.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المشاريع والبرامج</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ربط الخطة والميزانية والتنفيذ والمستفيدين والصرف والمخزون وقياس الأثر.</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المالية</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محاسبة كاملة بالقيد المزدوج والصناديق المقيدة ومراكز التكلفة والتبرعات والتقارير.</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المشتريات</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طلب احتياج إلى دفع مع موافقات ومطابقة ثلاثية وربط بالميزانية.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المخزون</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استلام وصرف وتتبع وتشغيلات وصلاحية وتبرعات عينية وربط بالمستفيدين والمشاريع.</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الموارد البشرية</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ملف موظف متكامل وطلبات وعقود ورواتب وحضور وإجازات وعهد وتقييمات وتدريب.</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التطوع</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المتطوعون والفرص والساعات والمشاركة والأثر.</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الاجتماعات</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الجداول والحضور والنصاب والمحاضر والقرارات والمهام.</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التقارير</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تقارير تشغيلية ومالية ورقابية من بيانات النظام الحية.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الخدمات المشتركة</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الهوية والصلاحيات والموافقات والتدقيق والمستندات والإشعارات والتكاملات.</w:t>
            </w:r>
          </w:p>
        </w:tc>
      </w:tr>
    </w:tbl>
    <w:p>
      <w:pPr>
        <w:pStyle w:val="Heading1"/>
        <w:jc w:val="right"/>
        <w:bidi w:val="1"/>
      </w:pPr>
      <w:r>
        <w:rPr>
          <w:rFonts w:ascii="Arial" w:hAnsi="Arial" w:eastAsia="Arial" w:cs="Arial"/>
          <w:b/>
          <w:sz w:val="34"/>
          <w:rtl w:val="1"/>
          <w:lang w:bidi="ar-SA" w:val="ar-SA"/>
        </w:rPr>
        <w:t>4. أهداف الأعمال ومعايير النجاح</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الرمز</w:t>
            </w:r>
          </w:p>
        </w:tc>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الهدف</w:t>
            </w:r>
          </w:p>
        </w:tc>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معيار النجاح</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BO-01</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تشغيل الوظائف الأساسية داخل منصة واحدة</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تعتمد الجمعية في الدورة الأساسية على أنظمة منفصلة لإكمال الإجراء.</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BO-02</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مصدر حقيقة واحد</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يعاد إدخال نفس الحقيقة في موديولات مختلفة؛ تعتمد التكاملات على مراجع مشتركة.</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BO-03</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الامتثال كنتاج للعمل اليومي</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الإفصاحات والتقارير تستخرج من المعاملات والمستندات والموافقات الفعلية.</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BO-04</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تتبع الأموال المقيدة</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كل مبلغ مقيد قابل للتتبع من التحصيل إلى الصرف ثم المشروع أو المستفيد.</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BO-05</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حماية البيانات</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تطبق الضوابط النظامية والصلاحيات والعزل والتدقيق على مستوى المنصة والجهة.</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BO-06</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قابلية التوسع</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تخدم المنصة عددًا كبيرًا من الجهات دون إعادة كتابة النظام لكل عميل.</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BO-07</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واجهة ثنائية اللغة احترافية</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العربية هي الافتراضية عند أول دخول، مع الإنجليزية، ودعم RTL/LTR الحقيقي، وهجري/ميلادي، وأنماط شاشة موحدة وهوية قابلة للتخصيص.</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BO-08</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تجربة متجاوبة متعددة الأجهزة</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جميع الوظائف الأساسية قابلة للاستخدام على سطح المكتب واللابتوب والأجهزة اللوحية والجوال دون فقد وظيفي.</w:t>
            </w:r>
          </w:p>
        </w:tc>
      </w:tr>
    </w:tbl>
    <w:p>
      <w:pPr>
        <w:pStyle w:val="Heading1"/>
        <w:jc w:val="right"/>
        <w:bidi w:val="1"/>
      </w:pPr>
      <w:r>
        <w:rPr>
          <w:rFonts w:ascii="Arial" w:hAnsi="Arial" w:eastAsia="Arial" w:cs="Arial"/>
          <w:b/>
          <w:sz w:val="34"/>
          <w:rtl w:val="1"/>
          <w:lang w:bidi="ar-SA" w:val="ar-SA"/>
        </w:rPr>
        <w:t>5. الأطراف والصلاحيات العليا</w:t>
      </w:r>
    </w:p>
    <w:p>
      <w:pPr>
        <w:pStyle w:val="ListBullet"/>
        <w:jc w:val="right"/>
        <w:bidi w:val="1"/>
      </w:pPr>
      <w:r>
        <w:rPr>
          <w:rFonts w:ascii="Arial" w:hAnsi="Arial" w:eastAsia="Arial" w:cs="Arial"/>
          <w:rtl w:val="1"/>
          <w:lang w:bidi="ar-SA" w:val="ar-SA"/>
        </w:rPr>
        <w:t>مشغل المنصة (رؤى الحلول): إدارة المستأجرين والبنية والمراقبة والدعم دون خلط البيانات التشغيلية.</w:t>
      </w:r>
    </w:p>
    <w:p>
      <w:pPr>
        <w:pStyle w:val="ListBullet"/>
        <w:jc w:val="right"/>
        <w:bidi w:val="1"/>
      </w:pPr>
      <w:r>
        <w:rPr>
          <w:rFonts w:ascii="Arial" w:hAnsi="Arial" w:eastAsia="Arial" w:cs="Arial"/>
          <w:rtl w:val="1"/>
          <w:lang w:bidi="ar-SA" w:val="ar-SA"/>
        </w:rPr>
        <w:t>مدير الجهة: إعداد الجمعية والمستخدمين والأدوار وحدود الموافقات والهوية.</w:t>
      </w:r>
    </w:p>
    <w:p>
      <w:pPr>
        <w:pStyle w:val="ListBullet"/>
        <w:jc w:val="right"/>
        <w:bidi w:val="1"/>
      </w:pPr>
      <w:r>
        <w:rPr>
          <w:rFonts w:ascii="Arial" w:hAnsi="Arial" w:eastAsia="Arial" w:cs="Arial"/>
          <w:rtl w:val="1"/>
          <w:lang w:bidi="ar-SA" w:val="ar-SA"/>
        </w:rPr>
        <w:t>المستخدمون التشغيليون: المالية والحوكمة والمستفيدون والموارد البشرية والمشتريات والمخزون والمشاريع وغيرها.</w:t>
      </w:r>
    </w:p>
    <w:p>
      <w:pPr>
        <w:pStyle w:val="ListBullet"/>
        <w:jc w:val="right"/>
        <w:bidi w:val="1"/>
      </w:pPr>
      <w:r>
        <w:rPr>
          <w:rFonts w:ascii="Arial" w:hAnsi="Arial" w:eastAsia="Arial" w:cs="Arial"/>
          <w:rtl w:val="1"/>
          <w:lang w:bidi="ar-SA" w:val="ar-SA"/>
        </w:rPr>
        <w:t>المجلس واللجان: عرض واعتماد وتصويت وإفصاح وفق الصلاحيات.</w:t>
      </w:r>
    </w:p>
    <w:p>
      <w:pPr>
        <w:pStyle w:val="ListBullet"/>
        <w:jc w:val="right"/>
        <w:bidi w:val="1"/>
      </w:pPr>
      <w:r>
        <w:rPr>
          <w:rFonts w:ascii="Arial" w:hAnsi="Arial" w:eastAsia="Arial" w:cs="Arial"/>
          <w:rtl w:val="1"/>
          <w:lang w:bidi="ar-SA" w:val="ar-SA"/>
        </w:rPr>
        <w:t>المستفيدون والمتطوعون والمانحون: وصول محدود عبر البوابات أو الخدمات الذاتية حيث يعتمد ذلك.</w:t>
      </w:r>
    </w:p>
    <w:p>
      <w:pPr>
        <w:pStyle w:val="ListBullet"/>
        <w:jc w:val="right"/>
        <w:bidi w:val="1"/>
      </w:pPr>
      <w:r>
        <w:rPr>
          <w:rFonts w:ascii="Arial" w:hAnsi="Arial" w:eastAsia="Arial" w:cs="Arial"/>
          <w:rtl w:val="1"/>
          <w:lang w:bidi="ar-SA" w:val="ar-SA"/>
        </w:rPr>
        <w:t>الجهات التنظيمية والخارجية: تكاملات وتقارير وملفات تبادل وفق آلية كل جهة.</w:t>
      </w:r>
    </w:p>
    <w:p>
      <w:pPr>
        <w:pStyle w:val="Heading1"/>
        <w:jc w:val="right"/>
        <w:bidi w:val="1"/>
      </w:pPr>
      <w:r>
        <w:rPr>
          <w:rFonts w:ascii="Arial" w:hAnsi="Arial" w:eastAsia="Arial" w:cs="Arial"/>
          <w:b/>
          <w:sz w:val="34"/>
          <w:rtl w:val="1"/>
          <w:lang w:bidi="ar-SA" w:val="ar-SA"/>
        </w:rPr>
        <w:t>6. نطاق الأعمال الملزم</w:t>
      </w:r>
    </w:p>
    <w:p>
      <w:pPr>
        <w:spacing w:after="100"/>
        <w:jc w:val="right"/>
        <w:bidi w:val="1"/>
      </w:pPr>
      <w:r>
        <w:rPr>
          <w:rFonts w:ascii="Arial" w:hAnsi="Arial" w:eastAsia="Arial" w:cs="Arial"/>
          <w:rtl w:val="1"/>
          <w:lang w:bidi="ar-SA" w:val="ar-SA"/>
        </w:rPr>
        <w:t>يشمل النطاق الموديولات التالية وخدماتها المشتركة. لا يجوز للوكيل البرمجي اعتبار أي موديول «واجهة فقط» إذا كانت الوثيقة تطلب دورة تشغيلية أو أثرًا ماليًا/رقابيًا.</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الرمز</w:t>
            </w:r>
          </w:p>
        </w:tc>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الموديول</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MT</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إدارة الجهات والاشتراكات والتهيئة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GV</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الحوكمة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BN</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المستفيدون وإدارة الحالات</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PJ</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المشاريع والبرامج والمنح</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FI</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المالية والتبرعات والصناديق</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PU</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المشتريات والموردون</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IN</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المخزون والمستودعات</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HR</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الموارد البشرية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VO</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التطوع</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AS</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العهد والأصول</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MG</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الاجتماعات والقرارات</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RP</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التقارير ولوحات المؤشرات</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NT</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الإشعارات</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DM</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المستندات والأرشفة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WF</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الموافقات وسير العمل</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IA</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الهوية والصلاحيات والتدقيق</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INT</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التكاملات</w:t>
            </w:r>
          </w:p>
        </w:tc>
      </w:tr>
    </w:tbl>
    <w:p>
      <w:pPr>
        <w:pStyle w:val="Heading1"/>
        <w:jc w:val="right"/>
        <w:bidi w:val="1"/>
      </w:pPr>
      <w:r>
        <w:rPr>
          <w:rFonts w:ascii="Arial" w:hAnsi="Arial" w:eastAsia="Arial" w:cs="Arial"/>
          <w:b/>
          <w:sz w:val="34"/>
          <w:rtl w:val="1"/>
          <w:lang w:bidi="ar-SA" w:val="ar-SA"/>
        </w:rPr>
        <w:t>7. قواعد الأعمال العابرة للموديولات</w:t>
      </w:r>
    </w:p>
    <w:p>
      <w:pPr>
        <w:pStyle w:val="ListNumber"/>
        <w:jc w:val="right"/>
        <w:bidi w:val="1"/>
      </w:pPr>
      <w:r>
        <w:rPr>
          <w:rFonts w:ascii="Arial" w:hAnsi="Arial" w:eastAsia="Arial" w:cs="Arial"/>
          <w:rtl w:val="1"/>
          <w:lang w:bidi="ar-SA" w:val="ar-SA"/>
        </w:rPr>
        <w:t>كل سجل تشغيلي مملوك لجهة يجب أن يرتبط بمعرف الجهة (tenant_id) ولا يظهر لجهة أخرى.</w:t>
      </w:r>
    </w:p>
    <w:p>
      <w:pPr>
        <w:pStyle w:val="ListNumber"/>
        <w:jc w:val="right"/>
        <w:bidi w:val="1"/>
      </w:pPr>
      <w:r>
        <w:rPr>
          <w:rFonts w:ascii="Arial" w:hAnsi="Arial" w:eastAsia="Arial" w:cs="Arial"/>
          <w:rtl w:val="1"/>
          <w:lang w:bidi="ar-SA" w:val="ar-SA"/>
        </w:rPr>
        <w:t>كل حركة ذات أثر مالي أو حوكمي أو اعتمادي يجب أن تكون قابلة للتدقيق باسم المستخدم والتاريخ والقيمة السابقة واللاحقة والسياق.</w:t>
      </w:r>
    </w:p>
    <w:p>
      <w:pPr>
        <w:pStyle w:val="ListNumber"/>
        <w:jc w:val="right"/>
        <w:bidi w:val="1"/>
      </w:pPr>
      <w:r>
        <w:rPr>
          <w:rFonts w:ascii="Arial" w:hAnsi="Arial" w:eastAsia="Arial" w:cs="Arial"/>
          <w:rtl w:val="1"/>
          <w:lang w:bidi="ar-SA" w:val="ar-SA"/>
        </w:rPr>
        <w:t>لا يجوز الحذف الصامت للمعاملات المعتمدة؛ تستخدم حالات الإلغاء أو العكس أو النسخ المؤرشفة وفق طبيعة الموديول.</w:t>
      </w:r>
    </w:p>
    <w:p>
      <w:pPr>
        <w:pStyle w:val="ListNumber"/>
        <w:jc w:val="right"/>
        <w:bidi w:val="1"/>
      </w:pPr>
      <w:r>
        <w:rPr>
          <w:rFonts w:ascii="Arial" w:hAnsi="Arial" w:eastAsia="Arial" w:cs="Arial"/>
          <w:rtl w:val="1"/>
          <w:lang w:bidi="ar-SA" w:val="ar-SA"/>
        </w:rPr>
        <w:t>كل موافقة يجب أن تمر عبر محرك موحد وقابل للتهيئة، ولا تكرر منطق الموافقات داخل كل شاشة بطريقة مستقلة.</w:t>
      </w:r>
    </w:p>
    <w:p>
      <w:pPr>
        <w:pStyle w:val="ListNumber"/>
        <w:jc w:val="right"/>
        <w:bidi w:val="1"/>
      </w:pPr>
      <w:r>
        <w:rPr>
          <w:rFonts w:ascii="Arial" w:hAnsi="Arial" w:eastAsia="Arial" w:cs="Arial"/>
          <w:rtl w:val="1"/>
          <w:lang w:bidi="ar-SA" w:val="ar-SA"/>
        </w:rPr>
        <w:t>المستندات والمرفقات تستخدم خدمة مستندات موحدة ولا تحفظ كملفات محلية عشوائية داخل خادم التطبيق.</w:t>
      </w:r>
    </w:p>
    <w:p>
      <w:pPr>
        <w:pStyle w:val="ListNumber"/>
        <w:jc w:val="right"/>
        <w:bidi w:val="1"/>
      </w:pPr>
      <w:r>
        <w:rPr>
          <w:rFonts w:ascii="Arial" w:hAnsi="Arial" w:eastAsia="Arial" w:cs="Arial"/>
          <w:rtl w:val="1"/>
          <w:lang w:bidi="ar-SA" w:val="ar-SA"/>
        </w:rPr>
        <w:t>الإشعارات ناتجة من أحداث النظام وتستخدم خدمة موحدة، مع عدم تعطيل المعاملة الأساسية إذا تعطل مسار إشعار غير حرج.</w:t>
      </w:r>
    </w:p>
    <w:p>
      <w:pPr>
        <w:pStyle w:val="ListNumber"/>
        <w:jc w:val="right"/>
        <w:bidi w:val="1"/>
      </w:pPr>
      <w:r>
        <w:rPr>
          <w:rFonts w:ascii="Arial" w:hAnsi="Arial" w:eastAsia="Arial" w:cs="Arial"/>
          <w:rtl w:val="1"/>
          <w:lang w:bidi="ar-SA" w:val="ar-SA"/>
        </w:rPr>
        <w:t>كل كيان مرجعي رئيسي يجب أن يكون له مصدر حقيقة واحد، وتستخدم الموديولات الأخرى مرجعه بدل إنشاء نسخ مستقلة.</w:t>
      </w:r>
    </w:p>
    <w:p>
      <w:pPr>
        <w:pStyle w:val="ListNumber"/>
        <w:jc w:val="right"/>
        <w:bidi w:val="1"/>
      </w:pPr>
      <w:r>
        <w:rPr>
          <w:rFonts w:ascii="Arial" w:hAnsi="Arial" w:eastAsia="Arial" w:cs="Arial"/>
          <w:rtl w:val="1"/>
          <w:lang w:bidi="ar-SA" w:val="ar-SA"/>
        </w:rPr>
        <w:t>أي عملية لها أثر على المالية يجب أن تصدر أثرها من خدمة المجال الأصلية إلى المالية عبر عقد واضح؛ يمنع تكرار الأرقام يدويًا بين الموديولات.</w:t>
      </w:r>
    </w:p>
    <w:p>
      <w:pPr>
        <w:pStyle w:val="Heading1"/>
        <w:jc w:val="right"/>
        <w:bidi w:val="1"/>
      </w:pPr>
      <w:r>
        <w:rPr>
          <w:rFonts w:ascii="Arial" w:hAnsi="Arial" w:eastAsia="Arial" w:cs="Arial"/>
          <w:b/>
          <w:sz w:val="34"/>
          <w:rtl w:val="1"/>
          <w:lang w:bidi="ar-SA" w:val="ar-SA"/>
        </w:rPr>
        <w:t>8. التقنية المحددة للمشروع - قرار ملزم غير قابل للاجتهاد</w:t>
      </w:r>
    </w:p>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بند حاكم لا يقبل الاستبدال التلقائي</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الـ Stack التالي قرار مالك المشروع وليس اقتراحًا تقنيًا. Claude Code ممنوع من استبدال أي عنصر منه أو إضافة إطار منافس يؤدي نفس الدور أو نقل المشروع إلى تقنية أخرى دون موافقة صريحة مكتوبة من مالك المشروع داخل المحادثة الحالية.</w:t>
            </w:r>
          </w:p>
        </w:tc>
      </w:tr>
    </w:tbl>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الطبقة</w:t>
            </w:r>
          </w:p>
        </w:tc>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التقنية الملزمة</w:t>
            </w:r>
          </w:p>
        </w:tc>
        <w:tc>
          <w:tcPr>
            <w:tcW w:type="dxa" w:w="34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حكم التغيير</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Frontend</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React + Vite</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محظور الاستبدال بـ Next.js أو Angular أو Vue أو قوالب Server-side كبديل.</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Backend</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FastAPI (Python)</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محظور الاستبدال بـ Django أو Flask أو Node/NestJS أو أي Backend آخر.</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Database</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PostgreSQL</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محظور الاستبدال بـ MySQL أو MariaDB أو SQLite أو MongoDB كقاعدة تشغيل رئيسية.</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Tenant Isolation</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PostgreSQL Row-Level Security (RLS)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إلزامي على مستوى قاعدة البيانات، وليس فلترة تطبيقية فقط.</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Cache / Queue</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Redis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الخيار المعتمد للتخزين المؤقت/الصفوف وفق التصميم؛ لا يستبدل ذاتيًا.</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Documents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Object Storage</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المرفقات تحفظ في Object Storage مع Metadata في PostgreSQL، لا في مجلدات محلية عشوائية.</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Hosting</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Oracle Cloud Infrastructure (OCI) داخل المملكة</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محظور نقل الاستضافة أو تصميمها لجهة أخرى دون قرار رسمي.</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Containers</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Oracle Kubernetes Engine (OKE)</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المسار المعتمد لنشر الحاويات في بيئة الإنتاج.</w:t>
            </w:r>
          </w:p>
        </w:tc>
      </w:tr>
      <w:tr>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Architecture</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Modular Monolith</w:t>
            </w:r>
          </w:p>
        </w:tc>
        <w:tc>
          <w:tcPr>
            <w:tcW w:type="dxa" w:w="34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يمنع تفكيك النظام إلى Microservices دون اعتماد معماري صريح.</w:t>
            </w:r>
          </w:p>
        </w:tc>
      </w:tr>
    </w:tbl>
    <w:p>
      <w:pPr>
        <w:spacing w:after="100"/>
        <w:jc w:val="right"/>
        <w:bidi w:val="1"/>
      </w:pPr>
      <w:r>
        <w:rPr>
          <w:rFonts w:ascii="Arial" w:hAnsi="Arial" w:eastAsia="Arial" w:cs="Arial"/>
          <w:rtl w:val="1"/>
          <w:lang w:bidi="ar-SA" w:val="ar-SA"/>
        </w:rPr>
        <w:t>لا يعني هذا البند منع المكتبات المساعدة داخل React أو FastAPI، لكنه يمنع إدخال إطار يحل محل الطبقة المعتمدة أو يخلق بنية موازية. أي مكتبة جديدة يجب أن تكون لازمة، متوافقة، نشطة الصيانة، وتوثق في سجل التبعيات.</w:t>
      </w:r>
    </w:p>
    <w:p>
      <w:pPr>
        <w:pStyle w:val="Heading1"/>
        <w:jc w:val="right"/>
        <w:bidi w:val="1"/>
      </w:pPr>
      <w:r>
        <w:rPr>
          <w:rFonts w:ascii="Arial" w:hAnsi="Arial" w:eastAsia="Arial" w:cs="Arial"/>
          <w:b/>
          <w:sz w:val="34"/>
          <w:rtl w:val="1"/>
          <w:lang w:bidi="ar-SA" w:val="ar-SA"/>
        </w:rPr>
        <w:t>9. عقد تنفيذ Claude Code</w:t>
      </w:r>
    </w:p>
    <w:p>
      <w:pPr>
        <w:pStyle w:val="ListNumber"/>
        <w:jc w:val="right"/>
        <w:bidi w:val="1"/>
      </w:pPr>
      <w:r>
        <w:rPr>
          <w:rFonts w:ascii="Arial" w:hAnsi="Arial" w:eastAsia="Arial" w:cs="Arial"/>
          <w:rtl w:val="1"/>
          <w:lang w:bidi="ar-SA" w:val="ar-SA"/>
        </w:rPr>
        <w:t>في بداية المشروع ينشئ الوكيل البنية من الصفر حسب المرحلة المعتمدة. وفي المراحل اللاحقة يقرأ الملفات ذات الصلة قبل أي تعديل ويحدد نقاط التكامل وعدم التوافق المحتمل.</w:t>
      </w:r>
    </w:p>
    <w:p>
      <w:pPr>
        <w:pStyle w:val="ListNumber"/>
        <w:jc w:val="right"/>
        <w:bidi w:val="1"/>
      </w:pPr>
      <w:r>
        <w:rPr>
          <w:rFonts w:ascii="Arial" w:hAnsi="Arial" w:eastAsia="Arial" w:cs="Arial"/>
          <w:rtl w:val="1"/>
          <w:lang w:bidi="ar-SA" w:val="ar-SA"/>
        </w:rPr>
        <w:t>بعد إنشاء أي مرحلة واعتمادها، لا يحذف الوكيل ملفًا أو وظيفة أو حقلًا أو API أو Route أو Migration أو Style مستخدمًا قبل إثبات سبب الحذف وتوافقه مع المرحلة الحالية.</w:t>
      </w:r>
    </w:p>
    <w:p>
      <w:pPr>
        <w:pStyle w:val="ListNumber"/>
        <w:jc w:val="right"/>
        <w:bidi w:val="1"/>
      </w:pPr>
      <w:r>
        <w:rPr>
          <w:rFonts w:ascii="Arial" w:hAnsi="Arial" w:eastAsia="Arial" w:cs="Arial"/>
          <w:rtl w:val="1"/>
          <w:lang w:bidi="ar-SA" w:val="ar-SA"/>
        </w:rPr>
        <w:t>لا يعيد كتابة مشروع كامل لمعالجة مشكلة محلية إلا بطلب صريح.</w:t>
      </w:r>
    </w:p>
    <w:p>
      <w:pPr>
        <w:pStyle w:val="ListNumber"/>
        <w:jc w:val="right"/>
        <w:bidi w:val="1"/>
      </w:pPr>
      <w:r>
        <w:rPr>
          <w:rFonts w:ascii="Arial" w:hAnsi="Arial" w:eastAsia="Arial" w:cs="Arial"/>
          <w:rtl w:val="1"/>
          <w:lang w:bidi="ar-SA" w:val="ar-SA"/>
        </w:rPr>
        <w:t>ينفذ التغييرات على مراحل صغيرة قابلة للاختبار والرجوع، ولا يدمج عدة موديولات كبيرة في دفعة واحدة.</w:t>
      </w:r>
    </w:p>
    <w:p>
      <w:pPr>
        <w:pStyle w:val="ListNumber"/>
        <w:jc w:val="right"/>
        <w:bidi w:val="1"/>
      </w:pPr>
      <w:r>
        <w:rPr>
          <w:rFonts w:ascii="Arial" w:hAnsi="Arial" w:eastAsia="Arial" w:cs="Arial"/>
          <w:rtl w:val="1"/>
          <w:lang w:bidi="ar-SA" w:val="ar-SA"/>
        </w:rPr>
        <w:t>قبل كل مرحلة يقدم نطاق الملفات المتوقعة، وبعدها يقدم الملفات المعدلة والجديدة والمحذوفة وسبب كل تغيير.</w:t>
      </w:r>
    </w:p>
    <w:p>
      <w:pPr>
        <w:pStyle w:val="ListNumber"/>
        <w:jc w:val="right"/>
        <w:bidi w:val="1"/>
      </w:pPr>
      <w:r>
        <w:rPr>
          <w:rFonts w:ascii="Arial" w:hAnsi="Arial" w:eastAsia="Arial" w:cs="Arial"/>
          <w:rtl w:val="1"/>
          <w:lang w:bidi="ar-SA" w:val="ar-SA"/>
        </w:rPr>
        <w:t>من أول Migration بعد التأسيس، كل تغيير لاحق في قاعدة البيانات يتم عبر Migration موثقة. يسمح بإنشاء قاعدة التطوير أول مرة فقط ضمن مرحلة التأسيس، وبعدها يمنع Reset أو إسقاط البيانات كحل افتراضي.</w:t>
      </w:r>
    </w:p>
    <w:p>
      <w:pPr>
        <w:pStyle w:val="ListNumber"/>
        <w:jc w:val="right"/>
        <w:bidi w:val="1"/>
      </w:pPr>
      <w:r>
        <w:rPr>
          <w:rFonts w:ascii="Arial" w:hAnsi="Arial" w:eastAsia="Arial" w:cs="Arial"/>
          <w:rtl w:val="1"/>
          <w:lang w:bidi="ar-SA" w:val="ar-SA"/>
        </w:rPr>
        <w:t>بعد استقرار أي عقد API أو Schema في مرحلة معتمدة، يحافظ الوكيل على التوافق الخلفي قدر الإمكان، وعند تعذر ذلك يعلن Breaking Change قبل تنفيذه.</w:t>
      </w:r>
    </w:p>
    <w:p>
      <w:pPr>
        <w:pStyle w:val="ListNumber"/>
        <w:jc w:val="right"/>
        <w:bidi w:val="1"/>
      </w:pPr>
      <w:r>
        <w:rPr>
          <w:rFonts w:ascii="Arial" w:hAnsi="Arial" w:eastAsia="Arial" w:cs="Arial"/>
          <w:rtl w:val="1"/>
          <w:lang w:bidi="ar-SA" w:val="ar-SA"/>
        </w:rPr>
        <w:t>لا يضع أسرارًا أو كلمات مرور أو مفاتيح API داخل الكود أو ملفات Git؛ تستخدم متغيرات البيئة وOCI Vault.</w:t>
      </w:r>
    </w:p>
    <w:p>
      <w:pPr>
        <w:pStyle w:val="ListNumber"/>
        <w:jc w:val="right"/>
        <w:bidi w:val="1"/>
      </w:pPr>
      <w:r>
        <w:rPr>
          <w:rFonts w:ascii="Arial" w:hAnsi="Arial" w:eastAsia="Arial" w:cs="Arial"/>
          <w:rtl w:val="1"/>
          <w:lang w:bidi="ar-SA" w:val="ar-SA"/>
        </w:rPr>
        <w:t>لا يختلق تكاملًا حكوميًا أو API غير مؤكدة. يبني Adapter/Interface وMock أو Stub حتى تتوفر تفاصيل رسمية.</w:t>
      </w:r>
    </w:p>
    <w:p>
      <w:pPr>
        <w:pStyle w:val="ListNumber"/>
        <w:jc w:val="right"/>
        <w:bidi w:val="1"/>
      </w:pPr>
      <w:r>
        <w:rPr>
          <w:rFonts w:ascii="Arial" w:hAnsi="Arial" w:eastAsia="Arial" w:cs="Arial"/>
          <w:rtl w:val="1"/>
          <w:lang w:bidi="ar-SA" w:val="ar-SA"/>
        </w:rPr>
        <w:t>لا يعتبر نجاح الـ Build كافيًا؛ يجب تشغيل الاختبارات المناسبة والتحقق من الـ Lint/Type Checks ومراجعة الأخطاء قبل الإقرار بالانتهاء.</w:t>
      </w:r>
    </w:p>
    <w:p>
      <w:pPr>
        <w:pStyle w:val="ListNumber"/>
        <w:jc w:val="right"/>
        <w:bidi w:val="1"/>
      </w:pPr>
      <w:r>
        <w:rPr>
          <w:rFonts w:ascii="Arial" w:hAnsi="Arial" w:eastAsia="Arial" w:cs="Arial"/>
          <w:rtl w:val="1"/>
          <w:lang w:bidi="ar-SA" w:val="ar-SA"/>
        </w:rPr>
        <w:t>اللغة العربية وRTL شرط أصيل في كل شاشة جديدة، وليس معالجة لاحقة.</w:t>
      </w:r>
    </w:p>
    <w:p>
      <w:pPr>
        <w:pStyle w:val="ListNumber"/>
        <w:jc w:val="right"/>
        <w:bidi w:val="1"/>
      </w:pPr>
      <w:r>
        <w:rPr>
          <w:rFonts w:ascii="Arial" w:hAnsi="Arial" w:eastAsia="Arial" w:cs="Arial"/>
          <w:rtl w:val="1"/>
          <w:lang w:bidi="ar-SA" w:val="ar-SA"/>
        </w:rPr>
        <w:t>إذا وجد تعارضًا بين تعليمات لاحقة وهذه الوثيقة، يطلب حسمًا صريحًا بدل اختيار ما يراه أفضل.</w:t>
      </w:r>
    </w:p>
    <w:p>
      <w:pPr>
        <w:pStyle w:val="Heading1"/>
        <w:jc w:val="right"/>
        <w:bidi w:val="1"/>
      </w:pPr>
      <w:r>
        <w:rPr>
          <w:rFonts w:ascii="Arial" w:hAnsi="Arial" w:eastAsia="Arial" w:cs="Arial"/>
          <w:b/>
          <w:sz w:val="34"/>
          <w:rtl w:val="1"/>
          <w:lang w:bidi="ar-SA" w:val="ar-SA"/>
        </w:rPr>
        <w:t>10. عقد اللغة والواجهة والأجهزة</w:t>
      </w:r>
    </w:p>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قرار منتج مقفل</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العربية هي اللغة الافتراضية عند أول دخول. يجب أن تكون المنصة كاملة ثنائية اللغة العربية والإنجليزية من البنية الأولى، وليس كتطوير لاحق. يمنع إنشاء نصوص واجهة Hard-coded خارج طبقة الترجمة.</w:t>
            </w:r>
          </w:p>
        </w:tc>
      </w:tr>
    </w:tbl>
    <w:p>
      <w:pPr>
        <w:pStyle w:val="ListNumber"/>
        <w:jc w:val="right"/>
        <w:bidi w:val="1"/>
      </w:pPr>
      <w:r>
        <w:rPr>
          <w:rFonts w:ascii="Arial" w:hAnsi="Arial" w:eastAsia="Arial" w:cs="Arial"/>
          <w:rtl w:val="1"/>
          <w:lang w:bidi="ar-SA" w:val="ar-SA"/>
        </w:rPr>
        <w:t>كل نص ظاهر للمستخدم، ورسالة تحقق أو خطأ أو إشعار، وعنوان أو زر أو قائمة أو حالة أو Tooltip يجب أن يمر عبر نظام i18n مركزي.</w:t>
      </w:r>
    </w:p>
    <w:p>
      <w:pPr>
        <w:pStyle w:val="ListNumber"/>
        <w:jc w:val="right"/>
        <w:bidi w:val="1"/>
      </w:pPr>
      <w:r>
        <w:rPr>
          <w:rFonts w:ascii="Arial" w:hAnsi="Arial" w:eastAsia="Arial" w:cs="Arial"/>
          <w:rtl w:val="1"/>
          <w:lang w:bidi="ar-SA" w:val="ar-SA"/>
        </w:rPr>
        <w:t>العربية تستخدم RTL والإنجليزية تستخدم LTR، ويتغير الاتجاه آليًا وبصورة صحيحة على مستوى الصفحة والمكونات والجداول والنماذج.</w:t>
      </w:r>
    </w:p>
    <w:p>
      <w:pPr>
        <w:pStyle w:val="ListNumber"/>
        <w:jc w:val="right"/>
        <w:bidi w:val="1"/>
      </w:pPr>
      <w:r>
        <w:rPr>
          <w:rFonts w:ascii="Arial" w:hAnsi="Arial" w:eastAsia="Arial" w:cs="Arial"/>
          <w:rtl w:val="1"/>
          <w:lang w:bidi="ar-SA" w:val="ar-SA"/>
        </w:rPr>
        <w:t>اللغة الافتراضية لأول دخول هي العربية، ثم تحفظ تفضيلات اللغة لكل مستخدم عند تغييره لها.</w:t>
      </w:r>
    </w:p>
    <w:p>
      <w:pPr>
        <w:pStyle w:val="ListNumber"/>
        <w:jc w:val="right"/>
        <w:bidi w:val="1"/>
      </w:pPr>
      <w:r>
        <w:rPr>
          <w:rFonts w:ascii="Arial" w:hAnsi="Arial" w:eastAsia="Arial" w:cs="Arial"/>
          <w:rtl w:val="1"/>
          <w:lang w:bidi="ar-SA" w:val="ar-SA"/>
        </w:rPr>
        <w:t>الخط القياسي الوحيد للواجهة هو IBM Plex Sans Arabic بدرجاته المناسبة للعربية والإنجليزية، ويطبق مركزيًا من Design Tokens/CSS.</w:t>
      </w:r>
    </w:p>
    <w:p>
      <w:pPr>
        <w:pStyle w:val="ListNumber"/>
        <w:jc w:val="right"/>
        <w:bidi w:val="1"/>
      </w:pPr>
      <w:r>
        <w:rPr>
          <w:rFonts w:ascii="Arial" w:hAnsi="Arial" w:eastAsia="Arial" w:cs="Arial"/>
          <w:rtl w:val="1"/>
          <w:lang w:bidi="ar-SA" w:val="ar-SA"/>
        </w:rPr>
        <w:t>جميع الشاشات Responsive لسطح المكتب واللابتوب واللوحي والجوال، ولا يجوز حذف وظيفة أساسية على الشاشات الصغيرة؛ يسمح فقط بتغيير أسلوب العرض.</w:t>
      </w:r>
    </w:p>
    <w:p>
      <w:pPr>
        <w:pStyle w:val="ListNumber"/>
        <w:jc w:val="right"/>
        <w:bidi w:val="1"/>
      </w:pPr>
      <w:r>
        <w:rPr>
          <w:rFonts w:ascii="Arial" w:hAnsi="Arial" w:eastAsia="Arial" w:cs="Arial"/>
          <w:rtl w:val="1"/>
          <w:lang w:bidi="ar-SA" w:val="ar-SA"/>
        </w:rPr>
        <w:t>تختبر نقاط الكسر الأساسية للجوال واللوحي وسطح المكتب، ويمنع الاعتماد على عرض ثابت يكسر الواجهة.</w:t>
      </w:r>
    </w:p>
    <w:p>
      <w:pPr>
        <w:pStyle w:val="ListNumber"/>
        <w:jc w:val="right"/>
        <w:bidi w:val="1"/>
      </w:pPr>
      <w:r>
        <w:rPr>
          <w:rFonts w:ascii="Arial" w:hAnsi="Arial" w:eastAsia="Arial" w:cs="Arial"/>
          <w:rtl w:val="1"/>
          <w:lang w:bidi="ar-SA" w:val="ar-SA"/>
        </w:rPr>
        <w:t>الجداول الكثيفة يجب أن تمتلك استراتيجية Mobile/Tablet واضحة مثل horizontal scroll أو card/detail pattern دون فقد البيانات أو الإجراءات.</w:t>
      </w:r>
    </w:p>
    <w:p>
      <w:pPr>
        <w:pStyle w:val="Heading1"/>
        <w:jc w:val="right"/>
        <w:bidi w:val="1"/>
      </w:pPr>
      <w:r>
        <w:rPr>
          <w:rFonts w:ascii="Arial" w:hAnsi="Arial" w:eastAsia="Arial" w:cs="Arial"/>
          <w:b/>
          <w:sz w:val="34"/>
          <w:rtl w:val="1"/>
          <w:lang w:bidi="ar-SA" w:val="ar-SA"/>
        </w:rPr>
        <w:t>11. عقد بيئة التطوير وGit/GitHub</w:t>
      </w:r>
    </w:p>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مستودع المشروع المعتمد</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حساب GitHub المعتمد: visionit30-a11y. المستودع المعتمد: visionit30-a11y/Vision_Sahl_Advanced_v.01. يجب أن يكون Git هو سجل النسخ الرسمي للمشروع منذ أول ملف ينشأ.</w:t>
            </w:r>
          </w:p>
        </w:tc>
      </w:tr>
    </w:tbl>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البند</w:t>
            </w:r>
          </w:p>
        </w:tc>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القرار الملزم</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بيئة التطوير الأولية</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Local Development على Windows باستخدام VS Code وأوامر متوافقة مع PowerShell.</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المستودع</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https://github.com/visionit30-a11y/Vision_Sahl_Advanced_v.01</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main</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فرع مستقر؛ لا تطوير مباشر عليه. يستقبل فقط مراحل أو إصدارات تم قبولها.</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develop</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فرع الدمج الرئيسي لأعمال التطوير المقبولة قبل الإصدار.</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feature/*</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فرع مستقل لكل مهمة أو ميزة أو حزمة عمل؛ لا تجمع مهام غير مترابطة في فرع واحد.</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Commits</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صغيرة ومنطقية ورسائلها واضحة وتصف التغيير الفعلي؛ يمنع commit ضخم بعنوان مبهم.</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Secrets</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يحظر Commit لأي .env أو مفاتيح أو بيانات اعتماد أو بيانات شخصية أو إنتاجية.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النسخ</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كل مرحلة مقبولة تحفظ في Git/GitHub قبل الانتقال للمرحلة التالية.</w:t>
            </w:r>
          </w:p>
        </w:tc>
      </w:tr>
    </w:tbl>
    <w:p>
      <w:pPr>
        <w:spacing w:after="100"/>
        <w:jc w:val="right"/>
        <w:bidi w:val="1"/>
      </w:pPr>
      <w:r>
        <w:rPr>
          <w:rFonts w:ascii="Arial" w:hAnsi="Arial" w:eastAsia="Arial" w:cs="Arial"/>
          <w:rtl w:val="1"/>
          <w:lang w:bidi="ar-SA" w:val="ar-SA"/>
        </w:rPr>
        <w:t>يجب أن تكون تعليمات README والتشغيل الأولي متوافقة مع Windows/PowerShell. وفي الوقت نفسه يجب أن يظل الكود Cross-platform وقابلاً للحاويات، وألا يعتمد منطق التطبيق على مسارات Windows أو أوامر PowerShell داخل Runtime الإنتاجي.</w:t>
      </w:r>
    </w:p>
    <w:p>
      <w:pPr>
        <w:pStyle w:val="Heading1"/>
        <w:jc w:val="right"/>
        <w:bidi w:val="1"/>
      </w:pPr>
      <w:r>
        <w:rPr>
          <w:rFonts w:ascii="Arial" w:hAnsi="Arial" w:eastAsia="Arial" w:cs="Arial"/>
          <w:b/>
          <w:sz w:val="34"/>
          <w:rtl w:val="1"/>
          <w:lang w:bidi="ar-SA" w:val="ar-SA"/>
        </w:rPr>
        <w:t>12. دورات العمل الرئيسية</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العملية</w:t>
            </w:r>
          </w:p>
        </w:tc>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الدورة الملزمة عالية المستوى</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تهيئة جمعية</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إنشاء Tenant → إعداد الأدوار والصلاحيات → دليل الحسابات → سير الموافقات → الهوية والنطاق → التفعيل.</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الحوكمة</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مجالس/لجان → سياسات → تعارض مصالح → اجتماع → قرارات/تصويت → مهام → إفصاح/تدقيق.</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المستفيد</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تسجيل → تحقق → منع تكرار → تقييم استحقاق → اعتماد → مساعدة نقدية/عينية → متابعة الأثر.</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المشتريات</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طلب احتياج → RFQ → مقارنة → أمر شراء → استلام → فاتورة → مطابقة ثلاثية → دفع/قيد.</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المخزون</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استلام → فحص/تقييم → تخزين → حركة → صرف لمشروع/مستفيد → إثبات استلام → أثر مالي عند الحاجة.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المشروع</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خطة → ميزانية/تمويل → مراحل/مهام → مشتريات/مخزون/مستفيدون → مصروفات → KPI/أثر → تقرير.</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الموظف</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إنشاء ملف → عقد/مباشرة → حضور/إجازات/طلبات → عهد/تعويضات/أداء/تدريب → رواتب → إنهاء خدمة/أرشفة.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التبرع</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قناة مرخصة → إدخال/استقبال → منع تكرار → ربط بحملة وصندوق → تسوية → استخدام للغرض → تقارير.</w:t>
            </w:r>
          </w:p>
        </w:tc>
      </w:tr>
    </w:tbl>
    <w:p>
      <w:pPr>
        <w:pStyle w:val="Heading1"/>
        <w:jc w:val="right"/>
        <w:bidi w:val="1"/>
      </w:pPr>
      <w:r>
        <w:rPr>
          <w:rFonts w:ascii="Arial" w:hAnsi="Arial" w:eastAsia="Arial" w:cs="Arial"/>
          <w:b/>
          <w:sz w:val="34"/>
          <w:rtl w:val="1"/>
          <w:lang w:bidi="ar-SA" w:val="ar-SA"/>
        </w:rPr>
        <w:t>13. متطلبات الموارد البشرية الموسعة</w:t>
      </w:r>
    </w:p>
    <w:p>
      <w:pPr>
        <w:spacing w:after="100"/>
        <w:jc w:val="right"/>
        <w:bidi w:val="1"/>
      </w:pPr>
      <w:r>
        <w:rPr>
          <w:rFonts w:ascii="Arial" w:hAnsi="Arial" w:eastAsia="Arial" w:cs="Arial"/>
          <w:rtl w:val="1"/>
          <w:lang w:bidi="ar-SA" w:val="ar-SA"/>
        </w:rPr>
        <w:t>تطويرًا عن الوثيقة الأصلية، يعتبر نطاق الموارد البشرية في سهل أوسع من أربعة متطلبات مختصرة، ويشمل على الأقل:</w:t>
      </w:r>
    </w:p>
    <w:p>
      <w:pPr>
        <w:pStyle w:val="ListBullet"/>
        <w:jc w:val="right"/>
        <w:bidi w:val="1"/>
      </w:pPr>
      <w:r>
        <w:rPr>
          <w:rFonts w:ascii="Arial" w:hAnsi="Arial" w:eastAsia="Arial" w:cs="Arial"/>
          <w:rtl w:val="1"/>
          <w:lang w:bidi="ar-SA" w:val="ar-SA"/>
        </w:rPr>
        <w:t>ملف الموظف والبيانات الأساسية والتنظيمية والبنكية والوثائق والعقود والمباشرات.</w:t>
      </w:r>
    </w:p>
    <w:p>
      <w:pPr>
        <w:pStyle w:val="ListBullet"/>
        <w:jc w:val="right"/>
        <w:bidi w:val="1"/>
      </w:pPr>
      <w:r>
        <w:rPr>
          <w:rFonts w:ascii="Arial" w:hAnsi="Arial" w:eastAsia="Arial" w:cs="Arial"/>
          <w:rtl w:val="1"/>
          <w:lang w:bidi="ar-SA" w:val="ar-SA"/>
        </w:rPr>
        <w:t>الهياكل التنظيمية والوظائف والدرجات ومراكز التكلفة والارتباط الإداري.</w:t>
      </w:r>
    </w:p>
    <w:p>
      <w:pPr>
        <w:pStyle w:val="ListBullet"/>
        <w:jc w:val="right"/>
        <w:bidi w:val="1"/>
      </w:pPr>
      <w:r>
        <w:rPr>
          <w:rFonts w:ascii="Arial" w:hAnsi="Arial" w:eastAsia="Arial" w:cs="Arial"/>
          <w:rtl w:val="1"/>
          <w:lang w:bidi="ar-SA" w:val="ar-SA"/>
        </w:rPr>
        <w:t>الحضور والانصراف والجداول والإجازات والغياب والعمل عن بعد والاستئذان.</w:t>
      </w:r>
    </w:p>
    <w:p>
      <w:pPr>
        <w:pStyle w:val="ListBullet"/>
        <w:jc w:val="right"/>
        <w:bidi w:val="1"/>
      </w:pPr>
      <w:r>
        <w:rPr>
          <w:rFonts w:ascii="Arial" w:hAnsi="Arial" w:eastAsia="Arial" w:cs="Arial"/>
          <w:rtl w:val="1"/>
          <w:lang w:bidi="ar-SA" w:val="ar-SA"/>
        </w:rPr>
        <w:t>الطلبات والخدمة الذاتية وسجل موحد لطلبات الموظف ومرفقاتها وموافقاتها.</w:t>
      </w:r>
    </w:p>
    <w:p>
      <w:pPr>
        <w:pStyle w:val="ListBullet"/>
        <w:jc w:val="right"/>
        <w:bidi w:val="1"/>
      </w:pPr>
      <w:r>
        <w:rPr>
          <w:rFonts w:ascii="Arial" w:hAnsi="Arial" w:eastAsia="Arial" w:cs="Arial"/>
          <w:rtl w:val="1"/>
          <w:lang w:bidi="ar-SA" w:val="ar-SA"/>
        </w:rPr>
        <w:t>الرواتب والمكونات والاستقطاعات والتعويضات والسلف وملفات الدفع والتكامل مع التأمينات عند اعتماد آليته.</w:t>
      </w:r>
    </w:p>
    <w:p>
      <w:pPr>
        <w:pStyle w:val="ListBullet"/>
        <w:jc w:val="right"/>
        <w:bidi w:val="1"/>
      </w:pPr>
      <w:r>
        <w:rPr>
          <w:rFonts w:ascii="Arial" w:hAnsi="Arial" w:eastAsia="Arial" w:cs="Arial"/>
          <w:rtl w:val="1"/>
          <w:lang w:bidi="ar-SA" w:val="ar-SA"/>
        </w:rPr>
        <w:t>العهد والأصول المرتبطة بالموظف كجزء من سجل الأصل المؤسسي.</w:t>
      </w:r>
    </w:p>
    <w:p>
      <w:pPr>
        <w:pStyle w:val="ListBullet"/>
        <w:jc w:val="right"/>
        <w:bidi w:val="1"/>
      </w:pPr>
      <w:r>
        <w:rPr>
          <w:rFonts w:ascii="Arial" w:hAnsi="Arial" w:eastAsia="Arial" w:cs="Arial"/>
          <w:rtl w:val="1"/>
          <w:lang w:bidi="ar-SA" w:val="ar-SA"/>
        </w:rPr>
        <w:t>الأداء والتقييم وخطط التحسين والتطوير والتدريب.</w:t>
      </w:r>
    </w:p>
    <w:p>
      <w:pPr>
        <w:pStyle w:val="ListBullet"/>
        <w:jc w:val="right"/>
        <w:bidi w:val="1"/>
      </w:pPr>
      <w:r>
        <w:rPr>
          <w:rFonts w:ascii="Arial" w:hAnsi="Arial" w:eastAsia="Arial" w:cs="Arial"/>
          <w:rtl w:val="1"/>
          <w:lang w:bidi="ar-SA" w:val="ar-SA"/>
        </w:rPr>
        <w:t>تنبيهات انتهاء العقود والوثائق وفترات التجربة وغيرها.</w:t>
      </w:r>
    </w:p>
    <w:p>
      <w:pPr>
        <w:pStyle w:val="Heading1"/>
        <w:jc w:val="right"/>
        <w:bidi w:val="1"/>
      </w:pPr>
      <w:r>
        <w:rPr>
          <w:rFonts w:ascii="Arial" w:hAnsi="Arial" w:eastAsia="Arial" w:cs="Arial"/>
          <w:b/>
          <w:sz w:val="34"/>
          <w:rtl w:val="1"/>
          <w:lang w:bidi="ar-SA" w:val="ar-SA"/>
        </w:rPr>
        <w:t>14. متطلبات العهد والأصول المؤسسية</w:t>
      </w:r>
    </w:p>
    <w:p>
      <w:pPr>
        <w:spacing w:after="100"/>
        <w:jc w:val="right"/>
        <w:bidi w:val="1"/>
      </w:pPr>
      <w:r>
        <w:rPr>
          <w:rFonts w:ascii="Arial" w:hAnsi="Arial" w:eastAsia="Arial" w:cs="Arial"/>
          <w:rtl w:val="1"/>
          <w:lang w:bidi="ar-SA" w:val="ar-SA"/>
        </w:rPr>
        <w:t>إدارة العهد لا تقتصر على عهد الموظفين؛ يجب أن تتطور إلى سجل أصول مؤسسي يربط الأصل بموقع أو مستودع أو فرع أو مشروع أو فريق أو موظف، ويحتفظ بالقيمة والشراء والضمان والتأمين والعمر والصيانة والجرد والاستبعاد وحالة الأصل، مع تاريخ كامل للحركة والحيازة.</w:t>
      </w:r>
    </w:p>
    <w:p>
      <w:pPr>
        <w:pStyle w:val="Heading1"/>
        <w:jc w:val="right"/>
        <w:bidi w:val="1"/>
      </w:pPr>
      <w:r>
        <w:rPr>
          <w:rFonts w:ascii="Arial" w:hAnsi="Arial" w:eastAsia="Arial" w:cs="Arial"/>
          <w:b/>
          <w:sz w:val="34"/>
          <w:rtl w:val="1"/>
          <w:lang w:bidi="ar-SA" w:val="ar-SA"/>
        </w:rPr>
        <w:t>15. الامتثال والخصوصية</w:t>
      </w:r>
    </w:p>
    <w:p>
      <w:pPr>
        <w:pStyle w:val="ListBullet"/>
        <w:jc w:val="right"/>
        <w:bidi w:val="1"/>
      </w:pPr>
      <w:r>
        <w:rPr>
          <w:rFonts w:ascii="Arial" w:hAnsi="Arial" w:eastAsia="Arial" w:cs="Arial"/>
          <w:rtl w:val="1"/>
          <w:lang w:bidi="ar-SA" w:val="ar-SA"/>
        </w:rPr>
        <w:t>البيانات الشخصية والمالية تخزن وتعالج داخل المملكة وفق القرار المعتمد للمشروع.</w:t>
      </w:r>
    </w:p>
    <w:p>
      <w:pPr>
        <w:pStyle w:val="ListBullet"/>
        <w:jc w:val="right"/>
        <w:bidi w:val="1"/>
      </w:pPr>
      <w:r>
        <w:rPr>
          <w:rFonts w:ascii="Arial" w:hAnsi="Arial" w:eastAsia="Arial" w:cs="Arial"/>
          <w:rtl w:val="1"/>
          <w:lang w:bidi="ar-SA" w:val="ar-SA"/>
        </w:rPr>
        <w:t>تطبق مبادئ الغرض والحد الأدنى من البيانات والموافقة أو الأساس النظامي حسب نوع المعالجة.</w:t>
      </w:r>
    </w:p>
    <w:p>
      <w:pPr>
        <w:pStyle w:val="ListBullet"/>
        <w:jc w:val="right"/>
        <w:bidi w:val="1"/>
      </w:pPr>
      <w:r>
        <w:rPr>
          <w:rFonts w:ascii="Arial" w:hAnsi="Arial" w:eastAsia="Arial" w:cs="Arial"/>
          <w:rtl w:val="1"/>
          <w:lang w:bidi="ar-SA" w:val="ar-SA"/>
        </w:rPr>
        <w:t>الهوية والحسابات البنكية والحقول المصنفة حساسة تخضع لتشفير حقلي وصلاحيات دقيقة وسجل وصول عند الحاجة.</w:t>
      </w:r>
    </w:p>
    <w:p>
      <w:pPr>
        <w:pStyle w:val="ListBullet"/>
        <w:jc w:val="right"/>
        <w:bidi w:val="1"/>
      </w:pPr>
      <w:r>
        <w:rPr>
          <w:rFonts w:ascii="Arial" w:hAnsi="Arial" w:eastAsia="Arial" w:cs="Arial"/>
          <w:rtl w:val="1"/>
          <w:lang w:bidi="ar-SA" w:val="ar-SA"/>
        </w:rPr>
        <w:t>الامتثال للمركز الوطني ومتطلبات جمع التبرعات وقواعد الصرف للغرض ومبادئ الحوكمة يترجم إلى قواعد نظام لا مجرد حقول توثيق.</w:t>
      </w:r>
    </w:p>
    <w:p>
      <w:pPr>
        <w:pStyle w:val="Heading1"/>
        <w:jc w:val="right"/>
        <w:bidi w:val="1"/>
      </w:pPr>
      <w:r>
        <w:rPr>
          <w:rFonts w:ascii="Arial" w:hAnsi="Arial" w:eastAsia="Arial" w:cs="Arial"/>
          <w:b/>
          <w:sz w:val="34"/>
          <w:rtl w:val="1"/>
          <w:lang w:bidi="ar-SA" w:val="ar-SA"/>
        </w:rPr>
        <w:t>16. خطة التنفيذ الملزمة على مراحل</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المرحلة</w:t>
            </w:r>
          </w:p>
        </w:tc>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النطاق</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0 - الأساس</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هيكل المستودع، بيئات التشغيل، Multi-Tenancy، RLS، الهوية، RBAC، التدقيق، المستندات، Workflow، الإعدادات المشتركة.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1 - الامتثال والمالية الأساسية</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دليل الحسابات، الصناديق، القيود، مراكز التكلفة، الحوكمة، الاجتماعات، الإفصاحات الأساسية.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2 - تقديم الخدمات</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المستفيدون، المشاريع والبرامج، الإشعارات، قياس الأثر الأساسي.</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3 - العمليات</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المشتريات، المخزون، الموارد البشرية، التطوع، العهد والأصول.</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4 - التكامل والتوسع</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التكاملات الحكومية والقنوات، التحليلات المتقدمة، تحسين الأداء والتوسع.</w:t>
            </w:r>
          </w:p>
        </w:tc>
      </w:tr>
    </w:tbl>
    <w:tbl>
      <w:tblPr>
        <w:tblStyle w:val="TableGrid"/>
        <w:tblW w:type="auto" w:w="0"/>
        <w:jc w:val="center"/>
        <w:tblLook w:firstColumn="1" w:firstRow="1" w:lastColumn="0" w:lastRow="0" w:noHBand="0" w:noVBand="1" w:val="04A0"/>
      </w:tblPr>
      <w:tblGrid>
        <w:gridCol w:w="10200"/>
      </w:tblGrid>
      <w:tr>
        <w:tc>
          <w:tcPr>
            <w:tcW w:type="dxa" w:w="10200"/>
            <w:shd w:fill="B4C6E7"/>
            <w:tcMar>
              <w:top w:w="150" w:type="dxa"/>
              <w:start w:w="150" w:type="dxa"/>
              <w:bottom w:w="150" w:type="dxa"/>
              <w:end w:w="150" w:type="dxa"/>
            </w:tcMar>
          </w:tcPr>
          <w:p>
            <w:pPr>
              <w:jc w:val="right"/>
              <w:bidi w:val="1"/>
            </w:pPr>
            <w:r/>
            <w:r>
              <w:rPr>
                <w:rFonts w:ascii="Arial" w:hAnsi="Arial" w:eastAsia="Arial" w:cs="Arial"/>
                <w:b/>
                <w:sz w:val="22"/>
                <w:rtl w:val="1"/>
                <w:lang w:bidi="ar-SA" w:val="ar-SA"/>
              </w:rPr>
              <w:t>منع التنفيذ الشامل دفعة واحدة</w:t>
            </w:r>
          </w:p>
        </w:tc>
      </w:tr>
      <w:tr>
        <w:tc>
          <w:tcPr>
            <w:tcW w:type="dxa" w:w="10200"/>
            <w:tcMar>
              <w:top w:w="180" w:type="dxa"/>
              <w:start w:w="180" w:type="dxa"/>
              <w:bottom w:w="180" w:type="dxa"/>
              <w:end w:w="180" w:type="dxa"/>
            </w:tcMar>
          </w:tcPr>
          <w:p>
            <w:pPr>
              <w:jc w:val="right"/>
              <w:bidi w:val="1"/>
            </w:pPr>
            <w:r/>
            <w:r>
              <w:rPr>
                <w:rFonts w:ascii="Arial" w:hAnsi="Arial" w:eastAsia="Arial" w:cs="Arial"/>
                <w:b/>
                <w:sz w:val="20"/>
                <w:rtl w:val="1"/>
                <w:lang w:bidi="ar-SA" w:val="ar-SA"/>
              </w:rPr>
              <w:t>يحظر على الوكيل البرمجي محاولة بناء جميع المراحل في أمر واحد أو تغيير البنية الأساسية بينما ينفذ موديولًا وظيفيًا. كل مرحلة لها معايير قبول مستقلة وتغلق قبل الانتقال لما بعدها ما لم يصدر توجيه صريح بخلاف ذلك.</w:t>
            </w:r>
          </w:p>
        </w:tc>
      </w:tr>
    </w:tbl>
    <w:p>
      <w:pPr>
        <w:pStyle w:val="Heading1"/>
        <w:jc w:val="right"/>
        <w:bidi w:val="1"/>
      </w:pPr>
      <w:r>
        <w:rPr>
          <w:rFonts w:ascii="Arial" w:hAnsi="Arial" w:eastAsia="Arial" w:cs="Arial"/>
          <w:b/>
          <w:sz w:val="34"/>
          <w:rtl w:val="1"/>
          <w:lang w:bidi="ar-SA" w:val="ar-SA"/>
        </w:rPr>
        <w:t>17. إدارة التغيير</w:t>
      </w:r>
    </w:p>
    <w:p>
      <w:pPr>
        <w:spacing w:after="100"/>
        <w:jc w:val="right"/>
        <w:bidi w:val="1"/>
      </w:pPr>
      <w:r>
        <w:rPr>
          <w:rFonts w:ascii="Arial" w:hAnsi="Arial" w:eastAsia="Arial" w:cs="Arial"/>
          <w:rtl w:val="1"/>
          <w:lang w:bidi="ar-SA" w:val="ar-SA"/>
        </w:rPr>
        <w:t>بعد اعتماد هذه النسخة كخط أساس، أي تغيير في الـ Stack أو المعمارية أو نطاق الموديولات أو قواعد العزل أو نماذج البيانات الجوهرية يجب أن يوثق كطلب تغيير (Change Request) يوضح السبب والأثر والمخاطر والمهاجرات المطلوبة، ثم يعتمد صراحة قبل التنفيذ.</w:t>
      </w:r>
    </w:p>
    <w:p>
      <w:pPr>
        <w:pStyle w:val="Heading1"/>
        <w:jc w:val="right"/>
        <w:bidi w:val="1"/>
      </w:pPr>
      <w:r>
        <w:rPr>
          <w:rFonts w:ascii="Arial" w:hAnsi="Arial" w:eastAsia="Arial" w:cs="Arial"/>
          <w:b/>
          <w:sz w:val="34"/>
          <w:rtl w:val="1"/>
          <w:lang w:bidi="ar-SA" w:val="ar-SA"/>
        </w:rPr>
        <w:t>18. مصفوفة قبول عالية المستوى</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الفئة</w:t>
            </w:r>
          </w:p>
        </w:tc>
        <w:tc>
          <w:tcPr>
            <w:tcW w:type="dxa" w:w="5100"/>
            <w:shd w:fill="D9EAF7"/>
            <w:vAlign w:val="center"/>
            <w:tcMar>
              <w:top w:w="100" w:type="dxa"/>
              <w:start w:w="100" w:type="dxa"/>
              <w:bottom w:w="100" w:type="dxa"/>
              <w:end w:w="100" w:type="dxa"/>
            </w:tcMar>
          </w:tcPr>
          <w:p>
            <w:pPr>
              <w:jc w:val="right"/>
              <w:bidi w:val="1"/>
            </w:pPr>
            <w:r/>
            <w:r>
              <w:rPr>
                <w:rFonts w:ascii="Arial" w:hAnsi="Arial" w:eastAsia="Arial" w:cs="Arial"/>
                <w:b/>
                <w:sz w:val="20"/>
                <w:rtl w:val="1"/>
                <w:lang w:bidi="ar-SA" w:val="ar-SA"/>
              </w:rPr>
              <w:t>شرط القبول</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وظيفي</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ينفذ السيناريو التجاري المحدد دون فقد بيانات أو تجاوز موافقات.</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تكاملي</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ينتقل الأثر بين الموديولات من خلال خدمات وعقود محددة دون إدخال مكرر.</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أمني</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لا يحدث تسرب بين الجهات، وتطبق الصلاحيات وRLS والتدقيق.</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بيانات</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Migration قابلة للتطبيق والرجوع، والقيود المرجعية صحيحة.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واجهة</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RTL عربي، Responsive، نمط موحد، وحالات تحميل/خطأ/فراغ واضحة.</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تشغيلي</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Logs وHealth Checks وConfig وSecrets منفصلة عن الكود.</w:t>
            </w:r>
          </w:p>
        </w:tc>
      </w:tr>
      <w:tr>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اختبارات</w:t>
            </w:r>
          </w:p>
        </w:tc>
        <w:tc>
          <w:tcPr>
            <w:tcW w:type="dxa" w:w="5100"/>
            <w:vAlign w:val="center"/>
            <w:tcMar>
              <w:top w:w="100" w:type="dxa"/>
              <w:start w:w="100" w:type="dxa"/>
              <w:bottom w:w="100" w:type="dxa"/>
              <w:end w:w="100" w:type="dxa"/>
            </w:tcMar>
          </w:tcPr>
          <w:p>
            <w:pPr>
              <w:jc w:val="right"/>
              <w:bidi w:val="1"/>
            </w:pPr>
            <w:r/>
            <w:r>
              <w:rPr>
                <w:rFonts w:ascii="Arial" w:hAnsi="Arial" w:eastAsia="Arial" w:cs="Arial"/>
                <w:sz w:val="19"/>
                <w:rtl w:val="1"/>
                <w:lang w:bidi="ar-SA" w:val="ar-SA"/>
              </w:rPr>
              <w:t>اختبارات مناسبة ناجحة ولا توجد أخطاء معروفة غير موثقة.</w:t>
            </w:r>
          </w:p>
        </w:tc>
      </w:tr>
    </w:tbl>
    <w:p>
      <w:pPr>
        <w:pStyle w:val="Heading1"/>
        <w:jc w:val="right"/>
        <w:bidi w:val="1"/>
      </w:pPr>
      <w:r>
        <w:rPr>
          <w:rFonts w:ascii="Arial" w:hAnsi="Arial" w:eastAsia="Arial" w:cs="Arial"/>
          <w:b/>
          <w:sz w:val="34"/>
          <w:rtl w:val="1"/>
          <w:lang w:bidi="ar-SA" w:val="ar-SA"/>
        </w:rPr>
        <w:t>19. اعتماد الوثيقة</w:t>
      </w:r>
    </w:p>
    <w:p>
      <w:pPr>
        <w:spacing w:after="100"/>
        <w:jc w:val="right"/>
        <w:bidi w:val="1"/>
      </w:pPr>
      <w:r>
        <w:rPr>
          <w:rFonts w:ascii="Arial" w:hAnsi="Arial" w:eastAsia="Arial" w:cs="Arial"/>
          <w:rtl w:val="1"/>
          <w:lang w:bidi="ar-SA" w:val="ar-SA"/>
        </w:rPr>
        <w:t>اعتماد مالك المشروع لهذه الوثيقة يعني أن Claude Code وأي وكيل برمجي يعمل على مستودع منصة سهل يجب أن يتعامل معها كقيد تنفيذي. لا تمنح الوثيقة الوكيل صلاحية اتخاذ قرارات منتج أو معمارية خارج ما ورد فيها.</w:t>
      </w:r>
    </w:p>
    <w:p>
      <w:pPr>
        <w:jc w:val="right"/>
        <w:bidi/>
      </w:pPr>
      <w:r>
        <w:rPr>
          <w:b/>
          <w:sz w:val="30"/>
        </w:rPr>
        <w:t>ملحق إلزامي: عقد واجهات المستخدم ومحركات العرض والتقارير والمكونات المشتركة</w:t>
      </w:r>
    </w:p>
    <w:p>
      <w:pPr>
        <w:jc w:val="right"/>
        <w:bidi/>
      </w:pPr>
      <w:r>
        <w:t>يُعد هذا الملحق جزءًا ملزمًا من خط الأساس التعاقدي للوثيقة. أي تنفيذ يخالف البنود التالية يُعد غير مقبول حتى لو كان يعمل وظيفيًا، ولا يجوز لـ Claude Code تجاوزها أو استبدالها باجتهاد تقني.</w:t>
      </w:r>
    </w:p>
    <w:p>
      <w:pPr>
        <w:pStyle w:val="ListBullet"/>
        <w:jc w:val="right"/>
        <w:bidi/>
      </w:pPr>
      <w:r>
        <w:t>يُحظر استخدام Tailwind CSS أو Bootstrap أو أي إطار CSS Utility/Component بديل يؤدي الوظيفة نفسها دون موافقة كتابية صريحة. يعتمد المشروع على CSS منظم ومكونات واجهة قابلة لإعادة الاستخدام ضمن نظام تصميم موحد.</w:t>
      </w:r>
    </w:p>
    <w:p>
      <w:pPr>
        <w:pStyle w:val="ListBullet"/>
        <w:jc w:val="right"/>
        <w:bidi/>
      </w:pPr>
      <w:r>
        <w:t>يُحظر استخدام Node.js كخلفية تشغيلية أو كبديل لـ FastAPI. يُسمح بوجود Node.js محليًا فقط بقدر ما تتطلبه أدوات بناء React + Vite وإدارة حزم الواجهة الأمامية؛ ولا يجوز إنشاء API أو خدمات أعمال أو Jobs خلفية به.</w:t>
      </w:r>
    </w:p>
    <w:p>
      <w:pPr>
        <w:pStyle w:val="ListBullet"/>
        <w:jc w:val="right"/>
        <w:bidi/>
      </w:pPr>
      <w:r>
        <w:t>يجب تجنب النصوص التوضيحية الطويلة والمبالغ فيها داخل الواجهات. تستخدم التسميات والمساعدة السياقية والرسائل القصيرة عند الحاجة فقط، مع إبقاء الواجهة عملية وغير مزدحمة.</w:t>
      </w:r>
    </w:p>
    <w:p>
      <w:pPr>
        <w:pStyle w:val="ListBullet"/>
        <w:jc w:val="right"/>
        <w:bidi/>
      </w:pPr>
      <w:r>
        <w:t>يُصمم النظام لمستخدم قد لا يمتلك إلا الحد الأدنى من الكفاءة التقنية؛ لذلك يجب أن تكون الإجراءات واضحة، وتسلسل الخطوات مفهومًا، والأخطاء قابلة للفهم، مع تقليل عدد النقرات والحاجة إلى الحفظ اليدوي أو المعرفة التقنية.</w:t>
      </w:r>
    </w:p>
    <w:p>
      <w:pPr>
        <w:pStyle w:val="ListBullet"/>
        <w:jc w:val="right"/>
        <w:bidi/>
      </w:pPr>
      <w:r>
        <w:t>يجب أن تكون الحركة بين القوائم والسجلات والشاشات والاستعراض والرجوع والبحث متسقة وسهلة، مع المحافظة على السياق قدر الإمكان.</w:t>
      </w:r>
    </w:p>
    <w:p>
      <w:pPr>
        <w:pStyle w:val="ListBullet"/>
        <w:jc w:val="right"/>
        <w:bidi/>
      </w:pPr>
      <w:r>
        <w:t>كل شاشة قائمة أو جدول بيانات يجب أن تستفيد من محرك جداول/استعلام مشترك قابل لإعادة الاستخدام، وليس منطقًا مكررًا داخل كل موديول.</w:t>
      </w:r>
    </w:p>
    <w:p>
      <w:pPr>
        <w:pStyle w:val="ListBullet"/>
        <w:jc w:val="right"/>
        <w:bidi/>
      </w:pPr>
      <w:r>
        <w:t>محرك الجداول المشترك يجب أن يدعم: البحث، الفرز، التصفية، الترقيم Pagination، اختيار سجل واحد أو عدة سجلات، اختيار الكل ضمن النطاق المسموح، تنفيذ الإجراءات الجماعية المصرح بها، وتوضيح عدد السجلات المحددة.</w:t>
      </w:r>
    </w:p>
    <w:p>
      <w:pPr>
        <w:pStyle w:val="ListBullet"/>
        <w:jc w:val="right"/>
        <w:bidi/>
      </w:pPr>
      <w:r>
        <w:t>يجب دعم تخصيص الأعمدة المعروضة: إظهار/إخفاء الأعمدة، إعادة الترتيب عندما يكون ذلك مناسبًا، وحفظ تفضيلات المستخدم لكل شاشة/جدول واستعادتها تلقائيًا.</w:t>
      </w:r>
    </w:p>
    <w:p>
      <w:pPr>
        <w:pStyle w:val="ListBullet"/>
        <w:jc w:val="right"/>
        <w:bidi/>
      </w:pPr>
      <w:r>
        <w:t>يجب أن تحتوي شاشات العرض والجداول على محرك تقارير/تصدير مشترك يدعم الطباعة أو العرض الملائم للمتصفح، وتصدير PDF، وتصدير Excel متوافق وقابل للاستخدام، مع إمكانية تصدير الكل أو السجلات المحددة وفق الصلاحيات والفلاتر الحالية.</w:t>
      </w:r>
    </w:p>
    <w:p>
      <w:pPr>
        <w:pStyle w:val="ListBullet"/>
        <w:jc w:val="right"/>
        <w:bidi/>
      </w:pPr>
      <w:r>
        <w:t>يجب أن يحترم التصدير اللغة الحالية واتجاهها وحقول الشاشة والصلاحيات، وألا يكشف حقولًا مخفية بسبب الصلاحيات. وتنفذ التقارير الكبيرة بصورة غير متزامنة عند الحاجة.</w:t>
      </w:r>
    </w:p>
    <w:p>
      <w:pPr>
        <w:pStyle w:val="ListBullet"/>
        <w:jc w:val="right"/>
        <w:bidi/>
      </w:pPr>
      <w:r>
        <w:t>توحّد الأزرار وحالاتها وأحجامها وترتيبها، وحقول البحث والفلاتر، والجداول، والنوافذ، ورسائل التحقق، وأنماط CRUD والموافقات عبر جميع الموديولات.</w:t>
      </w:r>
    </w:p>
    <w:p>
      <w:pPr>
        <w:pStyle w:val="ListBullet"/>
        <w:jc w:val="right"/>
        <w:bidi/>
      </w:pPr>
      <w:r>
        <w:t>يمنع التضخيم البصري غير المبرر: Padding مرتفع، مساحات فارغة كبيرة، بطاقات ضخمة، حواف شديدة الاستدارة أو عناصر زخرفية تقلل كثافة المعلومات وسهولة العمل.</w:t>
      </w:r>
    </w:p>
    <w:p>
      <w:pPr>
        <w:pStyle w:val="ListBullet"/>
        <w:jc w:val="right"/>
        <w:bidi/>
      </w:pPr>
      <w:r>
        <w:t>يتعامل Claude Code مع كل واجهة بعقلية خبير UI/UX: وضوح التسلسل البصري، الاتساق، الوصول السريع للوظائف، حالات Loading/Empty/Error، قابلية الوصول، الاستجابة، ولوحة المفاتيح حيث يلزم.</w:t>
      </w:r>
    </w:p>
    <w:p>
      <w:pPr>
        <w:pStyle w:val="ListBullet"/>
        <w:jc w:val="right"/>
        <w:bidi/>
      </w:pPr>
      <w:r>
        <w:t>الهوية البصرية مستلهمة من الطابع المؤسسي/الحكومي السعودي: هادئة، رسمية، واضحة وحديثة، دون نسخ هوية جهة حكومية بعينها أو الإيحاء بأن المنصة جهة حكومية.</w:t>
      </w:r>
    </w:p>
    <w:p>
      <w:pPr>
        <w:pStyle w:val="ListBullet"/>
        <w:jc w:val="right"/>
        <w:bidi/>
      </w:pPr>
      <w:r>
        <w:t>تستخدم أيقونات ملونة ومعبرة عن الوظيفة ومتناغمة مع لوحة الألوان ونظام التصميم، مع توحيد أسلوبها البصري وعدم استخدام أيقونات عشوائية أو متنافرة.</w:t>
      </w:r>
    </w:p>
    <w:p>
      <w:pPr>
        <w:pStyle w:val="ListBullet"/>
        <w:jc w:val="right"/>
        <w:bidi/>
      </w:pPr>
      <w:r>
        <w:t>أي كود أو سلوك يتكرر عبر الواجهات يجب استخراجه إلى مكوّن أو Hook أو Service أو Utility أو Engine مشترك مناسب، بحيث تستدعيه الشاشات بدل نسخ الكود. يشمل ذلك الجداول، البحث، الفلاتر، التصدير، التفضيلات، النوافذ، الإشعارات، حالات التحميل، التحقق، الصلاحيات، والموافقات حيث ينطبق.</w:t>
      </w:r>
    </w:p>
    <w:p>
      <w:pPr>
        <w:pStyle w:val="ListBullet"/>
        <w:jc w:val="right"/>
        <w:bidi/>
      </w:pPr>
      <w:r>
        <w:t>لا يجوز الإفراط في التجريد مبكرًا: ينشأ المحرك المشترك عندما يكون السلوك عامًا وقابلاً لإعادة الاستخدام، مع API واضح واختبارات، دون تحويل المشروع إلى طبقات معقدة أو Microservices.</w:t>
      </w:r>
    </w:p>
    <w:p>
      <w:pPr>
        <w:jc w:val="right"/>
        <w:bidi/>
      </w:pPr>
      <w:r>
        <w:rPr>
          <w:b/>
          <w:sz w:val="30"/>
        </w:rPr>
        <w:t>ملحق إلزامي: محرك شريط التنبيهات والحالة الموحد</w:t>
      </w:r>
    </w:p>
    <w:p>
      <w:pPr>
        <w:jc w:val="right"/>
        <w:bidi/>
      </w:pPr>
      <w:r>
        <w:rPr>
          <w:b w:val="0"/>
        </w:rPr>
        <w:t>يُعد هذا البند جزءًا ملزمًا من نظام التصميم والخدمات المشتركة، ويجب تنفيذه كمحرك مركزي واحد يُستدعى من جميع الشاشات والموديولات. يمنع إنشاء أشرطة تنبيه أو رسائل حالة منفصلة ومختلفة في كل شاشة إذا كان الغرض يمكن خدمته بواسطة المحرك الموحد.</w:t>
      </w:r>
    </w:p>
    <w:p>
      <w:pPr>
        <w:pStyle w:val="ListBullet"/>
        <w:jc w:val="right"/>
        <w:bidi/>
      </w:pPr>
      <w:r>
        <w:t>يجب تخصيص مساحة ثابتة ومحجوزة مسبقًا داخل تخطيط الصفحة لشريط التنبيهات والحالة، بحيث لا يؤدي ظهوره أو اختفاؤه إلى تمدد الصفحة أو انكماشها أو تحريك المحتوى بصورة مفاجئة أو تغيير مواضع الحقول والأزرار.</w:t>
      </w:r>
    </w:p>
    <w:p>
      <w:pPr>
        <w:pStyle w:val="ListBullet"/>
        <w:jc w:val="right"/>
        <w:bidi/>
      </w:pPr>
      <w:r>
        <w:t>يظهر الشريط في موضع ثابت ومتسق ومناسب بصريًا داخل هيكل الصفحة، ويكون مرئيًا للمستخدم دون أن يحجب المحتوى أو يقطع مسار العمل.</w:t>
      </w:r>
    </w:p>
    <w:p>
      <w:pPr>
        <w:pStyle w:val="ListBullet"/>
        <w:jc w:val="right"/>
        <w:bidi/>
      </w:pPr>
      <w:r>
        <w:t>يستخدم الشريط لإبلاغ المستخدم بحالات النظام والعمليات مثل: النجاح، الحفظ، التعديل، الإنشاء، الإلغاء، الحذف، التراجع، التحذير، المنع، القيود، فشل العملية، الحاجة إلى إجراء، أو وجود نتيجة مرتبطة بعملية تمت.</w:t>
      </w:r>
    </w:p>
    <w:p>
      <w:pPr>
        <w:pStyle w:val="ListBullet"/>
        <w:jc w:val="right"/>
        <w:bidi/>
      </w:pPr>
      <w:r>
        <w:t>يجب استخدام ألوان هادئة وواضحة ومميزة حسب نوع الرسالة، مع الحفاظ على الهوية البصرية الرسمية للمنصة وعدم استخدام ألوان صارخة أو تأثيرات مبالغ فيها.</w:t>
      </w:r>
    </w:p>
    <w:p>
      <w:pPr>
        <w:pStyle w:val="ListBullet"/>
        <w:jc w:val="right"/>
        <w:bidi/>
      </w:pPr>
      <w:r>
        <w:t>يجب أن تكون صياغة الرسائل قصيرة ومباشرة ومفهومة للمستخدم منخفض الخبرة التقنية، مع عدم عرض تفاصيل تقنية أو أكواد أخطاء غير مفهومة ما لم تكن موجهة لمسؤول تقني في سياق مخصص.</w:t>
      </w:r>
    </w:p>
    <w:p>
      <w:pPr>
        <w:pStyle w:val="ListBullet"/>
        <w:jc w:val="right"/>
        <w:bidi/>
      </w:pPr>
      <w:r>
        <w:t>يجوز أن يحتوي الشريط على رابط أو أكثر لسجل أو حدث أو مستند أو قيد أو عملية مرتبطة بالرسالة. ويجب أن يكون الرابط واضحًا بصريًا، مع إبراز رقم السجل أو القيد بخط أثقل وبلون متناسق.</w:t>
      </w:r>
    </w:p>
    <w:p>
      <w:pPr>
        <w:pStyle w:val="ListBullet"/>
        <w:jc w:val="right"/>
        <w:bidi/>
      </w:pPr>
      <w:r>
        <w:t>مثال إلزامي للسلوك: عند إنشاء قيد مالي من عملية في شاشة أخرى، يعرض الشريط رسالة مثل «تم إنشاء القيد رقم JE-000123»، ويظهر رقم القيد بشكل مميز وقابل للنقر.</w:t>
      </w:r>
    </w:p>
    <w:p>
      <w:pPr>
        <w:pStyle w:val="ListBullet"/>
        <w:jc w:val="right"/>
        <w:bidi/>
      </w:pPr>
      <w:r>
        <w:t>عند الضغط على رابط داخل شريط التنبيه، يجب فتح السجل أو الحدث المرتبط في تبويب متصفح جديد أو تبويب داخلي مستقل حسب نمط التنقل المعتمد، مع إبقاء الشاشة الحالية مفتوحة وعدم فقد حالة المستخدم أو الفلاتر أو البيانات غير المحفوظة فيها.</w:t>
      </w:r>
    </w:p>
    <w:p>
      <w:pPr>
        <w:pStyle w:val="ListBullet"/>
        <w:jc w:val="right"/>
        <w:bidi/>
      </w:pPr>
      <w:r>
        <w:t>يجب أن يدعم المحرك حالات قابلة للإغلاق وحالات لا يجوز إغلاقها يدويًا، وفق أهمية الرسالة. كما يجب أن يدعم مدة ظهور تلقائية للرسائل البسيطة، بينما تبقى رسائل المنع أو التحذير الحرج أو الحاجة إلى إجراء حتى يتعامل معها المستخدم.</w:t>
      </w:r>
    </w:p>
    <w:p>
      <w:pPr>
        <w:pStyle w:val="ListBullet"/>
        <w:jc w:val="right"/>
        <w:bidi/>
      </w:pPr>
      <w:r>
        <w:t>إذا كانت العملية قابلة للتراجع، يجب أن يدعم الشريط إجراء «تراجع» ضمن فترة زمنية أو شرط منطقي محدد، ولا يُعرض خيار التراجع إلا إذا كان التنفيذ الخلفي يدعم الاسترجاع بأمان.</w:t>
      </w:r>
    </w:p>
    <w:p>
      <w:pPr>
        <w:pStyle w:val="ListBullet"/>
        <w:jc w:val="right"/>
        <w:bidi/>
      </w:pPr>
      <w:r>
        <w:t>يجب ألا يستخدم الشريط كبديل لرسائل التحقق المرتبطة مباشرة بالحقل؛ أخطاء الحقول تبقى قرب الحقل، بينما يستخدم الشريط للحالة العامة للعملية أو الصفحة.</w:t>
      </w:r>
    </w:p>
    <w:p>
      <w:pPr>
        <w:pStyle w:val="ListBullet"/>
        <w:jc w:val="right"/>
        <w:bidi/>
      </w:pPr>
      <w:r>
        <w:t>يجب أن يدعم المحرك العربية والإنجليزية وRTL/LTR من خلال نظام الترجمة المركزي، وألا تُكتب الرسائل ثابتة داخل المكونات.</w:t>
      </w:r>
    </w:p>
    <w:p>
      <w:pPr>
        <w:pStyle w:val="ListBullet"/>
        <w:jc w:val="right"/>
        <w:bidi/>
      </w:pPr>
      <w:r>
        <w:t>يجب أن يحترم الشريط صلاحيات المستخدم؛ فلا يجوز أن يعرض رابطًا أو تفاصيل لسجل لا يملك المستخدم صلاحية الوصول إليه.</w:t>
      </w:r>
    </w:p>
    <w:p>
      <w:pPr>
        <w:pStyle w:val="ListBullet"/>
        <w:jc w:val="right"/>
        <w:bidi/>
      </w:pPr>
      <w:r>
        <w:t>يجب أن تكون بنية المحرك قابلة للاستدعاء من أي موديول عبر API موحد مثل: النوع، العنوان/النص، الرابط الاختياري، معرف السجل، مدة الظهور، قابلية الإغلاق، إجراء التراجع، ومستوى الأهمية، مع منع تكرار منطق العرض داخل الشاشات.</w:t>
      </w:r>
    </w:p>
    <w:p>
      <w:pPr>
        <w:pStyle w:val="ListBullet"/>
        <w:jc w:val="right"/>
        <w:bidi/>
      </w:pPr>
      <w:r>
        <w:t>يجب اختبار المحرك على سطح المكتب واللابتوب والتابلت والجوال، والتأكد من ثبات موضعه وعدم حدوث Layout Shift أو تداخل مع Header أو Breadcrumb أو الجداول أو النوافذ.</w:t>
      </w:r>
    </w:p>
    <w:sectPr w:rsidR="00FC693F" w:rsidRPr="0006063C" w:rsidSect="00034616">
      <w:headerReference w:type="default" r:id="rId9"/>
      <w:footerReference w:type="default" r:id="rId10"/>
      <w:pgSz w:w="12240" w:h="15840"/>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eastAsia="Arial" w:cs="Arial"/>
        <w:sz w:val="16"/>
        <w:rtl w:val="1"/>
        <w:lang w:bidi="ar-SA" w:val="ar-SA"/>
      </w:rPr>
      <w:t>منصة سهل المطور - شركة رؤى الحلول لتقنية المعلومات - وثيقة قابلة للتعديل</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eastAsia="Arial" w:cs="Arial"/>
        <w:b/>
        <w:sz w:val="18"/>
        <w:rtl w:val="1"/>
        <w:lang w:bidi="ar-SA" w:val="ar-SA"/>
      </w:rPr>
      <w:t>BRD-SAHEL-001 — وثيقة متطلبات الأعمال الملزمة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34"/>
      <w:szCs w:val="28"/>
      <w:color w:val="16365C"/>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8"/>
      <w:szCs w:val="26"/>
      <w:color w:val="1F4E7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4"/>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spacing w:val="5"/>
      <w:kern w:val="28"/>
      <w:sz w:val="48"/>
      <w:szCs w:val="52"/>
      <w:color w:val="16365C"/>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