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rPr>
          <w:rFonts w:ascii="Arial" w:hAnsi="Arial" w:eastAsia="Arial" w:cs="Arial"/>
          <w:b/>
          <w:sz w:val="48"/>
          <w:rtl w:val="1"/>
          <w:lang w:bidi="ar-SA" w:val="ar-SA"/>
        </w:rPr>
        <w:t>وثيقة مواصفات متطلبات البرمجيات والعقد التقني - منصة سهل المطور</w:t>
      </w:r>
    </w:p>
    <w:p>
      <w:pPr>
        <w:jc w:val="center"/>
      </w:pPr>
      <w:r>
        <w:rPr>
          <w:rFonts w:ascii="Arial" w:hAnsi="Arial"/>
          <w:b/>
          <w:sz w:val="28"/>
        </w:rPr>
        <w:t>Software Requirements Specification (SRS) &amp; AI Coding Contract</w:t>
      </w:r>
    </w:p>
    <w:p>
      <w:pPr>
        <w:jc w:val="center"/>
      </w:pPr>
      <w:r>
        <w:rPr>
          <w:rFonts w:ascii="Arial" w:hAnsi="Arial" w:eastAsia="Arial" w:cs="Arial"/>
          <w:b/>
          <w:sz w:val="30"/>
          <w:rtl w:val="1"/>
          <w:lang w:bidi="ar-SA" w:val="ar-SA"/>
        </w:rPr>
        <w:br/>
        <w:t>منصة سهل المطور للجهات غير الربحية في المملكة العربية السعودية</w:t>
      </w:r>
    </w:p>
    <w:p>
      <w:pPr>
        <w:jc w:val="center"/>
      </w:pPr>
      <w:r>
        <w:rPr>
          <w:rFonts w:ascii="Arial" w:hAnsi="Arial" w:eastAsia="Arial" w:cs="Arial"/>
          <w:sz w:val="22"/>
          <w:rtl w:val="1"/>
          <w:lang w:bidi="ar-SA" w:val="ar-SA"/>
        </w:rPr>
        <w:br/>
        <w:t>رمز الوثيقة: SRS-SAHEL-001</w:t>
        <w:br/>
        <w:t>الإصدار: 1.0</w:t>
        <w:br/>
        <w:t>الحالة: خط أساس ملزم للتنفيذ</w:t>
        <w:br/>
        <w:t>المالك: شركة رؤى الحلول لتقنية المعلومات</w:t>
      </w:r>
    </w:p>
    <w:p>
      <w:pPr>
        <w:jc w:val="center"/>
      </w:pPr>
      <w:r>
        <w:rPr>
          <w:rFonts w:ascii="Arial" w:hAnsi="Arial" w:eastAsia="Arial" w:cs="Arial"/>
          <w:b/>
          <w:sz w:val="22"/>
          <w:rtl w:val="1"/>
          <w:lang w:bidi="ar-SA" w:val="ar-SA"/>
        </w:rPr>
        <w:br/>
        <w:t>هذه الوثيقة مرجع ملزم لأعمال التحليل والتصميم والبرمجة التي ينفذها Claude Code أو Codex أو أي وكيل برمجي آخر على المشروع. لا يجوز اعتبارها مجرد إرشادات اختيارية.</w:t>
      </w:r>
    </w:p>
    <w:p>
      <w:r>
        <w:br w:type="page"/>
      </w:r>
    </w:p>
    <w:p>
      <w:pPr>
        <w:pStyle w:val="Heading1"/>
        <w:jc w:val="right"/>
        <w:bidi w:val="1"/>
      </w:pPr>
      <w:r>
        <w:rPr>
          <w:rFonts w:ascii="Arial" w:hAnsi="Arial" w:eastAsia="Arial" w:cs="Arial"/>
          <w:b/>
          <w:sz w:val="34"/>
          <w:rtl w:val="1"/>
          <w:lang w:bidi="ar-SA" w:val="ar-SA"/>
        </w:rPr>
        <w:t>1. الغرض والنطاق</w:t>
      </w:r>
    </w:p>
    <w:p>
      <w:pPr>
        <w:spacing w:after="100"/>
        <w:jc w:val="right"/>
        <w:bidi w:val="1"/>
      </w:pPr>
      <w:r>
        <w:rPr>
          <w:rFonts w:ascii="Arial" w:hAnsi="Arial" w:eastAsia="Arial" w:cs="Arial"/>
          <w:rtl w:val="1"/>
          <w:lang w:bidi="ar-SA" w:val="ar-SA"/>
        </w:rPr>
        <w:t>تحول هذه الوثيقة احتياجات BRD-SAHEL-001 إلى متطلبات نظام قابلة للتنفيذ والاختبار. المشروع جديد بالكامل (Greenfield) ولا توجد منصة سابقة يجب تعديلها أو ترحيلها. وهي المرجع الفني الملزم لكل ملف أو قاعدة بيانات أو API أو واجهة أو إعداد بنية تحتية ينشئه Claude Code أو Codex أو أي وكيل برمجي لمنصة سهل المطور.</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أولوية الالتزام</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هذه الوثيقة أعلى من تفضيلات الوكيل البرمجي وأعلى من اقتراحات الاستبدال التلقائي للتقنيات. أي خروج عنها يجب أن يسبقه طلب تغيير واعتماد صريح من مالك المشروع.</w:t>
            </w:r>
          </w:p>
        </w:tc>
      </w:tr>
    </w:tbl>
    <w:p>
      <w:pPr>
        <w:pStyle w:val="Heading1"/>
        <w:jc w:val="right"/>
        <w:bidi w:val="1"/>
      </w:pPr>
      <w:r>
        <w:rPr>
          <w:rFonts w:ascii="Arial" w:hAnsi="Arial" w:eastAsia="Arial" w:cs="Arial"/>
          <w:b/>
          <w:sz w:val="34"/>
          <w:rtl w:val="1"/>
          <w:lang w:bidi="ar-SA" w:val="ar-SA"/>
        </w:rPr>
        <w:t>2. قواعد الأولوية</w:t>
      </w:r>
    </w:p>
    <w:p>
      <w:pPr>
        <w:pStyle w:val="ListNumber"/>
        <w:jc w:val="right"/>
        <w:bidi w:val="1"/>
      </w:pPr>
      <w:r>
        <w:rPr>
          <w:rFonts w:ascii="Arial" w:hAnsi="Arial" w:eastAsia="Arial" w:cs="Arial"/>
          <w:rtl w:val="1"/>
          <w:lang w:bidi="ar-SA" w:val="ar-SA"/>
        </w:rPr>
        <w:t>متطلبات SRS تحدد كيف يعمل النظام؛ BRD يحدد الهدف التجاري. عند التعارض الحقيقي يرفع الوكيل التعارض ولا يفسره ذاتيًا.</w:t>
      </w:r>
    </w:p>
    <w:p>
      <w:pPr>
        <w:pStyle w:val="ListNumber"/>
        <w:jc w:val="right"/>
        <w:bidi w:val="1"/>
      </w:pPr>
      <w:r>
        <w:rPr>
          <w:rFonts w:ascii="Arial" w:hAnsi="Arial" w:eastAsia="Arial" w:cs="Arial"/>
          <w:rtl w:val="1"/>
          <w:lang w:bidi="ar-SA" w:val="ar-SA"/>
        </w:rPr>
        <w:t>الكود القائم ليس مبررًا لإلغاء مطلب معتمد، كما أن الوثيقة ليست مبررًا لمسح كود قائم دون خطة انتقال.</w:t>
      </w:r>
    </w:p>
    <w:p>
      <w:pPr>
        <w:pStyle w:val="ListNumber"/>
        <w:jc w:val="right"/>
        <w:bidi w:val="1"/>
      </w:pPr>
      <w:r>
        <w:rPr>
          <w:rFonts w:ascii="Arial" w:hAnsi="Arial" w:eastAsia="Arial" w:cs="Arial"/>
          <w:rtl w:val="1"/>
          <w:lang w:bidi="ar-SA" w:val="ar-SA"/>
        </w:rPr>
        <w:t>أي تعليمات صريحة لاحقة من مالك المشروع يمكن أن تعدل بندًا بعينه؛ يجب توثيق أثرها وعدم تعميمها على بنود أخرى.</w:t>
      </w:r>
    </w:p>
    <w:p>
      <w:pPr>
        <w:pStyle w:val="ListNumber"/>
        <w:jc w:val="right"/>
        <w:bidi w:val="1"/>
      </w:pPr>
      <w:r>
        <w:rPr>
          <w:rFonts w:ascii="Arial" w:hAnsi="Arial" w:eastAsia="Arial" w:cs="Arial"/>
          <w:rtl w:val="1"/>
          <w:lang w:bidi="ar-SA" w:val="ar-SA"/>
        </w:rPr>
        <w:t>أي قرار غير مذكور يبقى TBD ويجب تصميم نقطة تمدد أو Interface مناسبة بدل اختراع خدمة خارجية.</w:t>
      </w:r>
    </w:p>
    <w:p>
      <w:pPr>
        <w:pStyle w:val="Heading1"/>
        <w:jc w:val="right"/>
        <w:bidi w:val="1"/>
      </w:pPr>
      <w:r>
        <w:rPr>
          <w:rFonts w:ascii="Arial" w:hAnsi="Arial" w:eastAsia="Arial" w:cs="Arial"/>
          <w:b/>
          <w:sz w:val="34"/>
          <w:rtl w:val="1"/>
          <w:lang w:bidi="ar-SA" w:val="ar-SA"/>
        </w:rPr>
        <w:t>3. العقد التقني غير القابل للاستبدال</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LOCKED TECHNOLOGY STACK</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يحظر على Claude Code استبدال أو ترحيل أو إعادة تأسيس أي طبقة من الـ Stack أدناه من تلقاء نفسه، حتى إذا رأى تقنية أخرى أسهل أو أحدث أو أكثر شيوعًا. الهدف هو الالتزام بالمعمارية المعتمدة وليس تحسينها خارج نطاق المهمة.</w:t>
            </w:r>
          </w:p>
        </w:tc>
      </w:tr>
    </w:tbl>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المعرف</w:t>
            </w:r>
          </w:p>
        </w:tc>
        <w:tc>
          <w:tcPr>
            <w:tcW w:type="dxa" w:w="255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الطبقة</w:t>
            </w:r>
          </w:p>
        </w:tc>
        <w:tc>
          <w:tcPr>
            <w:tcW w:type="dxa" w:w="255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الاختيار الملزم</w:t>
            </w:r>
          </w:p>
        </w:tc>
        <w:tc>
          <w:tcPr>
            <w:tcW w:type="dxa" w:w="255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محظورات صريحة</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TS-01</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Frontend</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React + Vite</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Next.js، لا Angular، لا Vue، لا استبدال بـ Server-rendered framework.</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TS-02</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Backend</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FastAPI على Python</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Django/DRF، لا Flask كبديل، لا Node/NestJS، لا Laravel.</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TS-03</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Database</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PostgreSQL</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MySQL/MariaDB/SQLite/MongoDB كقاعدة تشغيل رئيسية.</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TS-04</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Multi-Tenant Security</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PostgreSQL RLS</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يكتفى بـ tenant_id filtering في Repository أو API.</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TS-05</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Cache / Queue</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Redis</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إدخال Cache/Queue بديل يؤدي نفس الدور دون اعتماد.</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TS-06</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Documents</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OCI Object Storage أو Object Storage متوافق في بيئة التطوير</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حفظ دائم للمرفقات في filesystem المحلي لخادم التطبيق.</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TS-07</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Cloud</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Oracle Cloud Infrastructure داخل المملكة</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تصميم Production على AWS/Azure/GCP كبديل.</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TS-08</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Containers</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Docker + OKE</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OKE هو Orchestrator الإنتاجي المعتمد.</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TS-09</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Architecture</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Modular Monolith</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Microservices ولا Event-driven distributed architecture كإعادة تصميم تلقائية.</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TS-10</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Secrets</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Environment + OCI Vault</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secrets داخل الكود أو git.</w:t>
            </w:r>
          </w:p>
        </w:tc>
      </w:tr>
      <w:tr>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TS-11</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IaC</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Terraform</w:t>
            </w:r>
          </w:p>
        </w:tc>
        <w:tc>
          <w:tcPr>
            <w:tcW w:type="dxa" w:w="255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إعداد بنية الإنتاج يدويًا فقط دون Infrastructure as Code.</w:t>
            </w:r>
          </w:p>
        </w:tc>
      </w:tr>
    </w:tbl>
    <w:p>
      <w:pPr>
        <w:pStyle w:val="Heading1"/>
        <w:jc w:val="right"/>
        <w:bidi w:val="1"/>
      </w:pPr>
      <w:r>
        <w:rPr>
          <w:rFonts w:ascii="Arial" w:hAnsi="Arial" w:eastAsia="Arial" w:cs="Arial"/>
          <w:b/>
          <w:sz w:val="34"/>
          <w:rtl w:val="1"/>
          <w:lang w:bidi="ar-SA" w:val="ar-SA"/>
        </w:rPr>
        <w:t>4. بنية المستودع المقترحة والحدود الإلزامية</w:t>
      </w:r>
    </w:p>
    <w:p>
      <w:pPr>
        <w:spacing w:after="100"/>
        <w:jc w:val="right"/>
        <w:bidi w:val="1"/>
      </w:pPr>
      <w:r>
        <w:rPr>
          <w:rFonts w:ascii="Arial" w:hAnsi="Arial" w:eastAsia="Arial" w:cs="Arial"/>
          <w:rtl w:val="1"/>
          <w:lang w:bidi="ar-SA" w:val="ar-SA"/>
        </w:rPr>
        <w:t>يجب أن يعكس المستودع حدودًا واضحة بين الواجهة والخلفية والبنية والوثائق. يمكن تعديل أسماء المجلدات بتوجيه صريح، لكن لا يجوز خلط الطبقات.</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المسار المنطقي</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المحتوى</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apps/web</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React + Vite، الصفحات، المكونات، إدارة الحالة، عميل API.</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apps/api</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FastAPI، Routers، Schemas، Services، Dependencies.</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modules/&lt;domain&gt;</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منطق المجال لكل موديول بحدود واضحة وعدم استيراد عشوائي من موديولات أخرى.</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packages/shared</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أنواع وأدوات مشتركة حقيقية فقط، وليس مخزنًا عامًا لكل شيء.</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infra/terraform</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OCI networking, OKE, database, object storage, vault, observability.</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migrations</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مهاجرات PostgreSQL المتسلسلة والموثقة.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docs</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BRD/SRS/SAD/ADR/API contracts/runbooks.</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tests</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وحدات/تكامل/E2E وفق الحاجة.</w:t>
            </w:r>
          </w:p>
        </w:tc>
      </w:tr>
    </w:tbl>
    <w:p>
      <w:pPr>
        <w:pStyle w:val="Heading1"/>
        <w:jc w:val="right"/>
        <w:bidi w:val="1"/>
      </w:pPr>
      <w:r>
        <w:rPr>
          <w:rFonts w:ascii="Arial" w:hAnsi="Arial" w:eastAsia="Arial" w:cs="Arial"/>
          <w:b/>
          <w:sz w:val="34"/>
          <w:rtl w:val="1"/>
          <w:lang w:bidi="ar-SA" w:val="ar-SA"/>
        </w:rPr>
        <w:t>5. معمارية Modular Monolith</w:t>
      </w:r>
    </w:p>
    <w:p>
      <w:pPr>
        <w:pStyle w:val="ListBullet"/>
        <w:jc w:val="right"/>
        <w:bidi w:val="1"/>
      </w:pPr>
      <w:r>
        <w:rPr>
          <w:rFonts w:ascii="Arial" w:hAnsi="Arial" w:eastAsia="Arial" w:cs="Arial"/>
          <w:rtl w:val="1"/>
          <w:lang w:bidi="ar-SA" w:val="ar-SA"/>
        </w:rPr>
        <w:t>كل موديول يمتلك نماذجه وخدماته وقواعده وواجهاته المنطقية قدر الإمكان.</w:t>
      </w:r>
    </w:p>
    <w:p>
      <w:pPr>
        <w:pStyle w:val="ListBullet"/>
        <w:jc w:val="right"/>
        <w:bidi w:val="1"/>
      </w:pPr>
      <w:r>
        <w:rPr>
          <w:rFonts w:ascii="Arial" w:hAnsi="Arial" w:eastAsia="Arial" w:cs="Arial"/>
          <w:rtl w:val="1"/>
          <w:lang w:bidi="ar-SA" w:val="ar-SA"/>
        </w:rPr>
        <w:t>التواصل بين الموديولات يتم عبر Service Interfaces أو Domain Events داخلية محددة، وليس باستيراد طبقات التخزين الداخلية لبعضها.</w:t>
      </w:r>
    </w:p>
    <w:p>
      <w:pPr>
        <w:pStyle w:val="ListBullet"/>
        <w:jc w:val="right"/>
        <w:bidi w:val="1"/>
      </w:pPr>
      <w:r>
        <w:rPr>
          <w:rFonts w:ascii="Arial" w:hAnsi="Arial" w:eastAsia="Arial" w:cs="Arial"/>
          <w:rtl w:val="1"/>
          <w:lang w:bidi="ar-SA" w:val="ar-SA"/>
        </w:rPr>
        <w:t>لا يستخدم موديول جدول موديول آخر مباشرة لتجاوز خدمة المجال إذا كان لذلك أثر على قواعد العمل.</w:t>
      </w:r>
    </w:p>
    <w:p>
      <w:pPr>
        <w:pStyle w:val="ListBullet"/>
        <w:jc w:val="right"/>
        <w:bidi w:val="1"/>
      </w:pPr>
      <w:r>
        <w:rPr>
          <w:rFonts w:ascii="Arial" w:hAnsi="Arial" w:eastAsia="Arial" w:cs="Arial"/>
          <w:rtl w:val="1"/>
          <w:lang w:bidi="ar-SA" w:val="ar-SA"/>
        </w:rPr>
        <w:t>الخدمات المشتركة: Identity/RBAC، Workflow/Approvals، Audit، Documents، Notifications، Integration Adapters.</w:t>
      </w:r>
    </w:p>
    <w:p>
      <w:pPr>
        <w:pStyle w:val="ListBullet"/>
        <w:jc w:val="right"/>
        <w:bidi w:val="1"/>
      </w:pPr>
      <w:r>
        <w:rPr>
          <w:rFonts w:ascii="Arial" w:hAnsi="Arial" w:eastAsia="Arial" w:cs="Arial"/>
          <w:rtl w:val="1"/>
          <w:lang w:bidi="ar-SA" w:val="ar-SA"/>
        </w:rPr>
        <w:t>يمنع إنشاء نسخة ثانية من خدمة مشتركة داخل موديول واحد لتسهيل التنفيذ.</w:t>
      </w:r>
    </w:p>
    <w:p>
      <w:pPr>
        <w:pStyle w:val="Heading1"/>
        <w:jc w:val="right"/>
        <w:bidi w:val="1"/>
      </w:pPr>
      <w:r>
        <w:rPr>
          <w:rFonts w:ascii="Arial" w:hAnsi="Arial" w:eastAsia="Arial" w:cs="Arial"/>
          <w:b/>
          <w:sz w:val="34"/>
          <w:rtl w:val="1"/>
          <w:lang w:bidi="ar-SA" w:val="ar-SA"/>
        </w:rPr>
        <w:t>6. Multi-Tenancy وRLS - متطلبات أمنية حاكمة</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المعرف</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المتطلب</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الأولوية</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FR-MT-01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كل سجل مملوك لجهة يحتوي tenant_id غير قابل للإهمال ومفهرس.</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FR-MT-02</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كل جدول Tenant-owned يخضع لسياسة PostgreSQL RLS.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FR-MT-03</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اتصال التطبيق يستخدم DB role لا يمتلك BYPASSRLS ولا Superuser.</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FR-MT-04</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يتم تعيين سياق tenant موثوق لكل Request داخل Transaction/Connection scope قبل الاستعلام.</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FR-MT-05</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يحظر الاعتماد على tenant_id القادم من Body أو Query كمرجع ثقة منفرد.</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FR-MT-06</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اختبارات عزل آلية تثبت أن مستخدم Tenant A لا يقرأ أو يعدل Tenant B.</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FR-MT-07</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الجداول المشتركة عالميًا يجب تعريفها صراحة ولا تعامل تلقائيًا كTenant-owned.</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FR-MT-08</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دعم انتقال Tenant مختار إلى schema/database معزولة لاحقًا دون تغيير سلوك المجال.</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SHOULD</w:t>
            </w:r>
          </w:p>
        </w:tc>
      </w:tr>
    </w:tbl>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قاعدة فشل الاختبار</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أي اختبار يكشف إمكانية تجاوز RLS أو تسرب سجل بين جهتين يعد عيبًا مانعًا للإصدار، ولا يجوز تعطيل الاختبار أو استبداله بفلترة واجهة لإغلاق المشكلة.</w:t>
            </w:r>
          </w:p>
        </w:tc>
      </w:tr>
    </w:tbl>
    <w:p>
      <w:pPr>
        <w:pStyle w:val="Heading1"/>
        <w:jc w:val="right"/>
        <w:bidi w:val="1"/>
      </w:pPr>
      <w:r>
        <w:rPr>
          <w:rFonts w:ascii="Arial" w:hAnsi="Arial" w:eastAsia="Arial" w:cs="Arial"/>
          <w:b/>
          <w:sz w:val="34"/>
          <w:rtl w:val="1"/>
          <w:lang w:bidi="ar-SA" w:val="ar-SA"/>
        </w:rPr>
        <w:t>7. الهوية والصلاحيات والتدقيق</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المعرف</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المتطلب</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FR-IA-01</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RBAC لكل Tenant مع Roles وPermissions قابلة للتهيئة.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FR-IA-02</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دعم Segregation of Duties للعمليات الحساسة.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FR-IA-03</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محرك موافقات موحد يدعم المراحل والحدود المالية والتفويض والبديل والانتهاء.</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FR-IA-04</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Audit Log append-only للإنشاء والتعديل والحذف/الإلغاء في البيانات المالية والحوكمية والاعتمادية.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FR-IA-05</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الأحداث تسجل actor, tenant, timestamp, entity, action, before/after أو delta, correlation id.</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FR-IA-06</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العمليات الحساسة تدعم MFA عندما يفعّل ذلك حسب السياسة.</w:t>
            </w:r>
          </w:p>
        </w:tc>
      </w:tr>
    </w:tbl>
    <w:p>
      <w:pPr>
        <w:pStyle w:val="Heading1"/>
        <w:jc w:val="right"/>
        <w:bidi w:val="1"/>
      </w:pPr>
      <w:r>
        <w:rPr>
          <w:rFonts w:ascii="Arial" w:hAnsi="Arial" w:eastAsia="Arial" w:cs="Arial"/>
          <w:b/>
          <w:sz w:val="34"/>
          <w:rtl w:val="1"/>
          <w:lang w:bidi="ar-SA" w:val="ar-SA"/>
        </w:rPr>
        <w:t>8. المستندات وObject Storage</w:t>
      </w:r>
    </w:p>
    <w:p>
      <w:pPr>
        <w:pStyle w:val="ListNumber"/>
        <w:jc w:val="right"/>
        <w:bidi w:val="1"/>
      </w:pPr>
      <w:r>
        <w:rPr>
          <w:rFonts w:ascii="Arial" w:hAnsi="Arial" w:eastAsia="Arial" w:cs="Arial"/>
          <w:rtl w:val="1"/>
          <w:lang w:bidi="ar-SA" w:val="ar-SA"/>
        </w:rPr>
        <w:t>بيانات الملف الوصفية تحفظ في PostgreSQL: المعرف، tenant_id، الاسم، النوع، الحجم، hash، المالك، الكيان المرتبط، التصنيف، التواريخ.</w:t>
      </w:r>
    </w:p>
    <w:p>
      <w:pPr>
        <w:pStyle w:val="ListNumber"/>
        <w:jc w:val="right"/>
        <w:bidi w:val="1"/>
      </w:pPr>
      <w:r>
        <w:rPr>
          <w:rFonts w:ascii="Arial" w:hAnsi="Arial" w:eastAsia="Arial" w:cs="Arial"/>
          <w:rtl w:val="1"/>
          <w:lang w:bidi="ar-SA" w:val="ar-SA"/>
        </w:rPr>
        <w:t>المحتوى الثنائي للملف يحفظ في Object Storage وليس في قاعدة البيانات إلا باستثناء معتمد.</w:t>
      </w:r>
    </w:p>
    <w:p>
      <w:pPr>
        <w:pStyle w:val="ListNumber"/>
        <w:jc w:val="right"/>
        <w:bidi w:val="1"/>
      </w:pPr>
      <w:r>
        <w:rPr>
          <w:rFonts w:ascii="Arial" w:hAnsi="Arial" w:eastAsia="Arial" w:cs="Arial"/>
          <w:rtl w:val="1"/>
          <w:lang w:bidi="ar-SA" w:val="ar-SA"/>
        </w:rPr>
        <w:t>تستخدم مفاتيح Object غير قابلة للتخمين وسياسات وصول قصيرة الأجل أو Signed URLs حسب الاستخدام.</w:t>
      </w:r>
    </w:p>
    <w:p>
      <w:pPr>
        <w:pStyle w:val="ListNumber"/>
        <w:jc w:val="right"/>
        <w:bidi w:val="1"/>
      </w:pPr>
      <w:r>
        <w:rPr>
          <w:rFonts w:ascii="Arial" w:hAnsi="Arial" w:eastAsia="Arial" w:cs="Arial"/>
          <w:rtl w:val="1"/>
          <w:lang w:bidi="ar-SA" w:val="ar-SA"/>
        </w:rPr>
        <w:t>لا يقبل رفع الملف اعتمادًا على امتداده فقط؛ يتحقق من الحجم والنوع والمحتوى والسياسات.</w:t>
      </w:r>
    </w:p>
    <w:p>
      <w:pPr>
        <w:pStyle w:val="ListNumber"/>
        <w:jc w:val="right"/>
        <w:bidi w:val="1"/>
      </w:pPr>
      <w:r>
        <w:rPr>
          <w:rFonts w:ascii="Arial" w:hAnsi="Arial" w:eastAsia="Arial" w:cs="Arial"/>
          <w:rtl w:val="1"/>
          <w:lang w:bidi="ar-SA" w:val="ar-SA"/>
        </w:rPr>
        <w:t>حذف كيان لا يؤدي تلقائيًا إلى حذف مستنده فعليًا إذا كانت هناك متطلبات احتفاظ أو تدقيق.</w:t>
      </w:r>
    </w:p>
    <w:p>
      <w:pPr>
        <w:pStyle w:val="Heading1"/>
        <w:jc w:val="right"/>
        <w:bidi w:val="1"/>
      </w:pPr>
      <w:r>
        <w:rPr>
          <w:rFonts w:ascii="Arial" w:hAnsi="Arial" w:eastAsia="Arial" w:cs="Arial"/>
          <w:b/>
          <w:sz w:val="34"/>
          <w:rtl w:val="1"/>
          <w:lang w:bidi="ar-SA" w:val="ar-SA"/>
        </w:rPr>
        <w:t>9. Redis والمهام غير المتزامنة</w:t>
      </w:r>
    </w:p>
    <w:p>
      <w:pPr>
        <w:spacing w:after="100"/>
        <w:jc w:val="right"/>
        <w:bidi w:val="1"/>
      </w:pPr>
      <w:r>
        <w:rPr>
          <w:rFonts w:ascii="Arial" w:hAnsi="Arial" w:eastAsia="Arial" w:cs="Arial"/>
          <w:rtl w:val="1"/>
          <w:lang w:bidi="ar-SA" w:val="ar-SA"/>
        </w:rPr>
        <w:t>يستخدم Redis للتخزين المؤقت والصفوف/التنسيق وفق مكونات التنفيذ المعتمدة. التقارير الثقيلة والمزامنات والإشعارات الجماعية يجب أن تعمل بصورة غير متزامنة عندما يكون تشغيلها داخل Request مؤثرًا على زمن الاستجابة.</w:t>
      </w:r>
    </w:p>
    <w:p>
      <w:pPr>
        <w:pStyle w:val="ListBullet"/>
        <w:jc w:val="right"/>
        <w:bidi w:val="1"/>
      </w:pPr>
      <w:r>
        <w:rPr>
          <w:rFonts w:ascii="Arial" w:hAnsi="Arial" w:eastAsia="Arial" w:cs="Arial"/>
          <w:rtl w:val="1"/>
          <w:lang w:bidi="ar-SA" w:val="ar-SA"/>
        </w:rPr>
        <w:t>المهمة المتكررة يجب أن تكون Idempotent أو تستخدم مفتاح منع تكرار عند الحاجة.</w:t>
      </w:r>
    </w:p>
    <w:p>
      <w:pPr>
        <w:pStyle w:val="ListBullet"/>
        <w:jc w:val="right"/>
        <w:bidi w:val="1"/>
      </w:pPr>
      <w:r>
        <w:rPr>
          <w:rFonts w:ascii="Arial" w:hAnsi="Arial" w:eastAsia="Arial" w:cs="Arial"/>
          <w:rtl w:val="1"/>
          <w:lang w:bidi="ar-SA" w:val="ar-SA"/>
        </w:rPr>
        <w:t>فشل Redis في وظيفة غير حرجة لا يفسد Transaction أساسية اكتملت في PostgreSQL.</w:t>
      </w:r>
    </w:p>
    <w:p>
      <w:pPr>
        <w:pStyle w:val="ListBullet"/>
        <w:jc w:val="right"/>
        <w:bidi w:val="1"/>
      </w:pPr>
      <w:r>
        <w:rPr>
          <w:rFonts w:ascii="Arial" w:hAnsi="Arial" w:eastAsia="Arial" w:cs="Arial"/>
          <w:rtl w:val="1"/>
          <w:lang w:bidi="ar-SA" w:val="ar-SA"/>
        </w:rPr>
        <w:t>لا تحفظ Redis كنسخة الحقيقة الوحيدة لسجل أعمال دائم.</w:t>
      </w:r>
    </w:p>
    <w:p>
      <w:pPr>
        <w:pStyle w:val="Heading1"/>
        <w:jc w:val="right"/>
        <w:bidi w:val="1"/>
      </w:pPr>
      <w:r>
        <w:rPr>
          <w:rFonts w:ascii="Arial" w:hAnsi="Arial" w:eastAsia="Arial" w:cs="Arial"/>
          <w:b/>
          <w:sz w:val="34"/>
          <w:rtl w:val="1"/>
          <w:lang w:bidi="ar-SA" w:val="ar-SA"/>
        </w:rPr>
        <w:t>10. قاعدة البيانات والمهاجرات</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حماية بيانات المشروع</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ممنوع على الوكيل استخدام حذف قاعدة البيانات أو DROP TABLE أو إعادة Seed كاملة كحل عادي لمشكلة Migration. أي عملية فقد بيانات تحتاج موافقة صريحة وخطة نسخ احتياطي/استعادة.</w:t>
            </w:r>
          </w:p>
        </w:tc>
      </w:tr>
    </w:tbl>
    <w:p>
      <w:pPr>
        <w:pStyle w:val="ListNumber"/>
        <w:jc w:val="right"/>
        <w:bidi w:val="1"/>
      </w:pPr>
      <w:r>
        <w:rPr>
          <w:rFonts w:ascii="Arial" w:hAnsi="Arial" w:eastAsia="Arial" w:cs="Arial"/>
          <w:rtl w:val="1"/>
          <w:lang w:bidi="ar-SA" w:val="ar-SA"/>
        </w:rPr>
        <w:t>كل تعديل Schema يمر عبر Migration متسلسلة ومراجعة.</w:t>
      </w:r>
    </w:p>
    <w:p>
      <w:pPr>
        <w:pStyle w:val="ListNumber"/>
        <w:jc w:val="right"/>
        <w:bidi w:val="1"/>
      </w:pPr>
      <w:r>
        <w:rPr>
          <w:rFonts w:ascii="Arial" w:hAnsi="Arial" w:eastAsia="Arial" w:cs="Arial"/>
          <w:rtl w:val="1"/>
          <w:lang w:bidi="ar-SA" w:val="ar-SA"/>
        </w:rPr>
        <w:t>المهاجرات تراعي البيانات القائمة وتنفذ Backfill عندما يلزم قبل فرض NOT NULL أو Constraint جديد.</w:t>
      </w:r>
    </w:p>
    <w:p>
      <w:pPr>
        <w:pStyle w:val="ListNumber"/>
        <w:jc w:val="right"/>
        <w:bidi w:val="1"/>
      </w:pPr>
      <w:r>
        <w:rPr>
          <w:rFonts w:ascii="Arial" w:hAnsi="Arial" w:eastAsia="Arial" w:cs="Arial"/>
          <w:rtl w:val="1"/>
          <w:lang w:bidi="ar-SA" w:val="ar-SA"/>
        </w:rPr>
        <w:t>المفاتيح الخارجية والفهارس والقيود الفريدة تستخدم لتحقيق صحة البيانات لا الاعتماد على الواجهة فقط.</w:t>
      </w:r>
    </w:p>
    <w:p>
      <w:pPr>
        <w:pStyle w:val="ListNumber"/>
        <w:jc w:val="right"/>
        <w:bidi w:val="1"/>
      </w:pPr>
      <w:r>
        <w:rPr>
          <w:rFonts w:ascii="Arial" w:hAnsi="Arial" w:eastAsia="Arial" w:cs="Arial"/>
          <w:rtl w:val="1"/>
          <w:lang w:bidi="ar-SA" w:val="ar-SA"/>
        </w:rPr>
        <w:t>العمليات المالية والاعتمادية تستخدم معاملات قاعدة بيانات وحدود اتساق واضحة.</w:t>
      </w:r>
    </w:p>
    <w:p>
      <w:pPr>
        <w:pStyle w:val="ListNumber"/>
        <w:jc w:val="right"/>
        <w:bidi w:val="1"/>
      </w:pPr>
      <w:r>
        <w:rPr>
          <w:rFonts w:ascii="Arial" w:hAnsi="Arial" w:eastAsia="Arial" w:cs="Arial"/>
          <w:rtl w:val="1"/>
          <w:lang w:bidi="ar-SA" w:val="ar-SA"/>
        </w:rPr>
        <w:t>أي migration كبيرة أو blocking يجب أن تصمم لخطة نشر إنتاجية تقلل توقف الخدمة.</w:t>
      </w:r>
    </w:p>
    <w:p>
      <w:pPr>
        <w:pStyle w:val="Heading1"/>
        <w:jc w:val="right"/>
        <w:bidi w:val="1"/>
      </w:pPr>
      <w:r>
        <w:rPr>
          <w:rFonts w:ascii="Arial" w:hAnsi="Arial" w:eastAsia="Arial" w:cs="Arial"/>
          <w:b/>
          <w:sz w:val="34"/>
          <w:rtl w:val="1"/>
          <w:lang w:bidi="ar-SA" w:val="ar-SA"/>
        </w:rPr>
        <w:t>11. متطلبات الواجهة React + Vite</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المعرف</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المتطلب</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UI-01</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العربية هي اللغة الافتراضية وdir=rtl أساس التخطيط.</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UI-02</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تستخدم حلول CSS مؤقتة منفصلة لكل شاشة إذا كان العنصر جزءًا من Design System مشترك.</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UI-03</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المكونات المشتركة للقوائم والنماذج والجداول والمودال والموافقة والتحميل والخطأ تعاد استخدامها.</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UI-04</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كل شاشة بيانات تدعم حالات loading, empty, error, success بوضوح.</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UI-05</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الجداول الكبيرة تعتمد pagination/filtering/sorting من الخادم عند الحاجة ولا تحمل عشرات الآلاف من السجلات دفعة واحدة.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UI-06</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يعرض زر أو إجراء غير مسموح به؛ ومع ذلك يبقى التحقق النهائي في Backend.</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UI-07</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الهجري/الميلادي يعرض وفق إعدادات الجهة مع تخزين تاريخ قياسي في قاعدة البيانات.</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UI-08</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التصميم Responsive ولا يكسر الوظائف الأساسية على الشاشات الصغيرة.</w:t>
            </w:r>
          </w:p>
        </w:tc>
      </w:tr>
    </w:tbl>
    <w:p>
      <w:pPr>
        <w:pStyle w:val="Heading1"/>
        <w:jc w:val="right"/>
        <w:bidi w:val="1"/>
      </w:pPr>
      <w:r>
        <w:rPr>
          <w:rFonts w:ascii="Arial" w:hAnsi="Arial" w:eastAsia="Arial" w:cs="Arial"/>
          <w:b/>
          <w:sz w:val="34"/>
          <w:rtl w:val="1"/>
          <w:lang w:bidi="ar-SA" w:val="ar-SA"/>
        </w:rPr>
        <w:t>12. متطلبات API في FastAPI</w:t>
      </w:r>
    </w:p>
    <w:p>
      <w:pPr>
        <w:pStyle w:val="ListBullet"/>
        <w:jc w:val="right"/>
        <w:bidi w:val="1"/>
      </w:pPr>
      <w:r>
        <w:rPr>
          <w:rFonts w:ascii="Arial" w:hAnsi="Arial" w:eastAsia="Arial" w:cs="Arial"/>
          <w:rtl w:val="1"/>
          <w:lang w:bidi="ar-SA" w:val="ar-SA"/>
        </w:rPr>
        <w:t>Routers خفيفة؛ منطق الأعمال في Services/Domain layer وليس داخل Endpoint مباشرة.</w:t>
      </w:r>
    </w:p>
    <w:p>
      <w:pPr>
        <w:pStyle w:val="ListBullet"/>
        <w:jc w:val="right"/>
        <w:bidi w:val="1"/>
      </w:pPr>
      <w:r>
        <w:rPr>
          <w:rFonts w:ascii="Arial" w:hAnsi="Arial" w:eastAsia="Arial" w:cs="Arial"/>
          <w:rtl w:val="1"/>
          <w:lang w:bidi="ar-SA" w:val="ar-SA"/>
        </w:rPr>
        <w:t>Schemas واضحة للطلب والاستجابة؛ لا تعيد ORM object عشوائيًا دون عقد.</w:t>
      </w:r>
    </w:p>
    <w:p>
      <w:pPr>
        <w:pStyle w:val="ListBullet"/>
        <w:jc w:val="right"/>
        <w:bidi w:val="1"/>
      </w:pPr>
      <w:r>
        <w:rPr>
          <w:rFonts w:ascii="Arial" w:hAnsi="Arial" w:eastAsia="Arial" w:cs="Arial"/>
          <w:rtl w:val="1"/>
          <w:lang w:bidi="ar-SA" w:val="ar-SA"/>
        </w:rPr>
        <w:t>أخطاء موحدة لها code ورسالة وسياق مناسب دون تسريب Stack Trace للمستخدم.</w:t>
      </w:r>
    </w:p>
    <w:p>
      <w:pPr>
        <w:pStyle w:val="ListBullet"/>
        <w:jc w:val="right"/>
        <w:bidi w:val="1"/>
      </w:pPr>
      <w:r>
        <w:rPr>
          <w:rFonts w:ascii="Arial" w:hAnsi="Arial" w:eastAsia="Arial" w:cs="Arial"/>
          <w:rtl w:val="1"/>
          <w:lang w:bidi="ar-SA" w:val="ar-SA"/>
        </w:rPr>
        <w:t>Authorization على كل عملية خلفية ولا يعتمد على إخفاء الأزرار.</w:t>
      </w:r>
    </w:p>
    <w:p>
      <w:pPr>
        <w:pStyle w:val="ListBullet"/>
        <w:jc w:val="right"/>
        <w:bidi w:val="1"/>
      </w:pPr>
      <w:r>
        <w:rPr>
          <w:rFonts w:ascii="Arial" w:hAnsi="Arial" w:eastAsia="Arial" w:cs="Arial"/>
          <w:rtl w:val="1"/>
          <w:lang w:bidi="ar-SA" w:val="ar-SA"/>
        </w:rPr>
        <w:t>Pagination موحدة، Filters معلنة، وSort fields محددة لمنع الاستعلامات غير المنضبطة.</w:t>
      </w:r>
    </w:p>
    <w:p>
      <w:pPr>
        <w:pStyle w:val="ListBullet"/>
        <w:jc w:val="right"/>
        <w:bidi w:val="1"/>
      </w:pPr>
      <w:r>
        <w:rPr>
          <w:rFonts w:ascii="Arial" w:hAnsi="Arial" w:eastAsia="Arial" w:cs="Arial"/>
          <w:rtl w:val="1"/>
          <w:lang w:bidi="ar-SA" w:val="ar-SA"/>
        </w:rPr>
        <w:t>العمليات التي قد تتكرر من Webhook أو Retry تدعم idempotency عندما يكون ذلك مطلوبًا.</w:t>
      </w:r>
    </w:p>
    <w:p>
      <w:pPr>
        <w:pStyle w:val="ListBullet"/>
        <w:jc w:val="right"/>
        <w:bidi w:val="1"/>
      </w:pPr>
      <w:r>
        <w:rPr>
          <w:rFonts w:ascii="Arial" w:hAnsi="Arial" w:eastAsia="Arial" w:cs="Arial"/>
          <w:rtl w:val="1"/>
          <w:lang w:bidi="ar-SA" w:val="ar-SA"/>
        </w:rPr>
        <w:t>يستخدم OpenAPI الناتج من FastAPI كأحد عقود التكامل الداخلية ويظل متوافقًا مع الواجهة.</w:t>
      </w:r>
    </w:p>
    <w:p>
      <w:pPr>
        <w:pStyle w:val="Heading1"/>
        <w:jc w:val="right"/>
        <w:bidi w:val="1"/>
      </w:pPr>
      <w:r>
        <w:rPr>
          <w:rFonts w:ascii="Arial" w:hAnsi="Arial" w:eastAsia="Arial" w:cs="Arial"/>
          <w:b/>
          <w:sz w:val="34"/>
          <w:rtl w:val="1"/>
          <w:lang w:bidi="ar-SA" w:val="ar-SA"/>
        </w:rPr>
        <w:t>13. عقد اللغات والطباعة والاستجابة</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UI/I18N LOCKED BASELINE</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العربية هي اللغة الافتراضية عند أول دخول، والإنجليزية مدعومة منذ أول Commit. IBM Plex Sans Arabic هو الخط القياسي للغتين. لا يجوز تأجيل i18n أو Responsive Design إلى مرحلة تحسين لاحقة.</w:t>
            </w:r>
          </w:p>
        </w:tc>
      </w:tr>
    </w:tbl>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المعرف</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المتطلب الملزم</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الأولوية</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FR-LO-01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تهيئة i18n منذ مرحلة Foundation؛ جميع النصوص المرئية تأتي من مفاتيح ترجمة مركزية ولا تكتب Hard-coded داخل Components.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FR-LO-02</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العربية افتراضية للمستخدم الجديد/أول دخول، مع Language Switcher واضح وحفظ التفضيل.</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FR-LO-03</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تطبيق dir=rtl للعربية وdir=ltr للإنجليزية آليًا، مع دعم Logical CSS properties قدر الإمكان لتجنب ازدواج CSS.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FR-LO-04</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اعتماد IBM Plex Sans Arabic لكل العربية والإنجليزية وبناء Typography scale موحد للأوزان والأحجام وLine-height.</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FR-RWD-01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كل شاشة ومكون ونموذج وجدول يجب أن يعمل على mobile/tablet/laptop/desktop دون overflow مكسور أو فقد وظيفة.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FR-RWD-02</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إنشاء Breakpoints وspacing/layout tokens مركزية في Design System وعدم اختراع قياسات مستقلة لكل صفحة.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FR-RWD-03</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اختبارات واجهة أو تحقق بصري للأحجام الرئيسية قبل قبول كل Feature UI.</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FR-A11Y-01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المكونات الأساسية تراعي keyboard navigation, labels, focus states, contrast وsemantic HTML قدر الإمكان.</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bl>
    <w:p>
      <w:pPr>
        <w:pStyle w:val="Heading1"/>
        <w:jc w:val="right"/>
        <w:bidi w:val="1"/>
      </w:pPr>
      <w:r>
        <w:rPr>
          <w:rFonts w:ascii="Arial" w:hAnsi="Arial" w:eastAsia="Arial" w:cs="Arial"/>
          <w:b/>
          <w:sz w:val="34"/>
          <w:rtl w:val="1"/>
          <w:lang w:bidi="ar-SA" w:val="ar-SA"/>
        </w:rPr>
        <w:t>14. عقد التطوير المحلي وإدارة المصدر</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GIT/GITHUB LOCKED BASELINE</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Git وGitHub إلزاميان منذ أول مرحلة. الحساب: visionit30-a11y. المستودع: https://github.com/visionit30-a11y/Vision_Sahl_Advanced_v.01. يمنع التطوير المباشر على main.</w:t>
            </w:r>
          </w:p>
        </w:tc>
      </w:tr>
    </w:tbl>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المعرف</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المتطلب</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DEV-01</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بيئة التطوير الأولية Windows + VS Code، وجميع أوامر التأسيس والتشغيل والصيانة في README توفر صيغة PowerShell قابلة للنسخ والتنفيذ.</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DEV-02</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main مستقر، develop للتكامل، وكل مهمة تنفذ على feature/&lt;short-name&gt; مشتق من develop.</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DEV-03</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ينشأ Pull Request من feature إلى develop بعد Build/Test/Lint/Type-check المناسبة؛ ثم يدمج الإصدار المقبول من develop إلى main.</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DEV-04</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كل Commit ذري قدر الإمكان ورسالة واضحة؛ يمنع تجميع مرحلة كاملة غير مفهومة في Commit واحد إذا أمكن فصلها منطقيًا.</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DEV-05</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إعداد .gitignore منذ أول Commit لمنع .env, virtual environments, node_modules, build outputs, caches, IDE temp files والأسرار.</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DEV-06</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توفير .env.example دون أسرار، وREADME يشرح تشغيل Frontend/Backend/PostgreSQL/Redis محليًا.</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DEV-07</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يجب أن يكون Runtime غير مرتبط بـWindows: paths عبر مكتبات المنصة، configuration عبر environment، والنشر عبر containers.</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DEV-08</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بعد قبول كل مرحلة يجب Push الفروع/الـCommits المطلوبة إلى GitHub قبل بدء المرحلة التالية.</w:t>
            </w:r>
          </w:p>
        </w:tc>
      </w:tr>
    </w:tbl>
    <w:p>
      <w:pPr>
        <w:pStyle w:val="Heading1"/>
        <w:jc w:val="right"/>
        <w:bidi w:val="1"/>
      </w:pPr>
      <w:r>
        <w:rPr>
          <w:rFonts w:ascii="Arial" w:hAnsi="Arial" w:eastAsia="Arial" w:cs="Arial"/>
          <w:b/>
          <w:sz w:val="34"/>
          <w:rtl w:val="1"/>
          <w:lang w:bidi="ar-SA" w:val="ar-SA"/>
        </w:rPr>
        <w:t>15. خطة التنفيذ المرحلية الإلزامية</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منع القفز بين المراحل</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لا يبدأ Claude Code مرحلة لاحقة قبل اكتمال Definition of Done للمرحلة الحالية ووجود Build قابل للتشغيل وCommit/Push واضح. يمنع بناء الموديولات دفعة واحدة أو إنشاء شاشات استعراضية بلا Backend وقواعد بيانات متوافقة مع نطاق المرحلة.</w:t>
            </w:r>
          </w:p>
        </w:tc>
      </w:tr>
    </w:tbl>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المرحلة</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النطاق الإلزامي</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بوابة الخروج</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0 - Repository &amp; Local Foundation</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تهيئة Git/GitHub والفروع، monorepo أو الهيكل المعتمد، React+Vite، FastAPI، PostgreSQL، Redis، Docker/local services، env example، README PowerShell، lint/test/typecheck.</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تشغيل Frontend وBackend وقاعدة البيانات وRedis محليًا من تعليمات موثقة + أول Push مستقر.</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1 - Design System &amp; Bilingual Shell</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IBM Plex Sans Arabic، tokens، layout، responsive shell، i18n عربي/إنجليزي، RTL/LTR، navigation shell، states/components الأساسية.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واجهة shell تعمل باللغتين وعلى mobile/tablet/desktop دون منطق أعمال وهمي.</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2 - Tenancy, Identity, RBAC, RLS &amp; Audit</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Tenant model، auth، users/memberships/roles/permissions، PostgreSQL RLS، audit foundation، tenant resolution.</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اختبارات تثبت منع cross-tenant access ونجاح الصلاحيات والتدقيق.</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3 - Shared Platform Services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Workflow/approvals، documents abstraction، notifications events، settings، reference data، background jobs.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خدمات مشتركة قابلة لإعادة الاستخدام ومختبرة ولا يوجد تكرار داخل الموديولات.</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4 - Governance &amp; Meetings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المجلس واللجان والسياسات وتعارض المصالح والامتثال والاجتماعات والقرارات.</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دورة حوكمة كاملة بصلاحيات وتدقيق ومرفقات.</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5 - Finance Core</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COA، journals، funds، cost centers، budgets، campaigns/donations foundation، posting controls.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قيد مزدوج متوازن + عزل Tenant + audit + قواعد funds الأساسية.</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6 - Beneficiaries &amp; Case Management</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beneficiary/household/case/eligibility/aid/consent والروابط المالية/العينية.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سيناريو تسجيل-تقييم-اعتماد-مساعدة كامل ومختبر.</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7 - Projects &amp; Programs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projects, milestones, tasks, grants, project budgets, KPIs والروابط المشتركة.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مشروع مرتبط بالميزانية والمستفيدين والتقارير الأساسية.</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8 - Purchasing &amp; Inventory</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requisition/RFQ/PO/receipt/invoice، vendors، three-way match، warehouses/stock/lots/expiry/distribution.</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Procure-to-receive وربط مالي/مخزني صحيح مع اختبارات.</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9 - HR, Volunteers, Custody &amp; Assets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employees, contracts, attendance, leave, payroll foundation, volunteers, custody/assets, self-service foundation.</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دورات HR الأساسية والعهد تعمل بصلاحيات وتدقيق وروابط مالية حيث يلزم.</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10 - Reports, Integrations &amp; Hardening</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dashboards/reports async، adapters الخارجية، security/performance hardening، observability، backup/DR preparation.</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حزمة قبول متكاملة قبل Staging/OCI مع عدم اختلاق أي API خارجي غير موثق.</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Phase 11 - OCI/OKE Staging &amp; Production Readiness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Terraform/OCI، OKE، database/object storage/Redis services، secrets، WAF/DNS/certs، CI/CD gates.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نشر Staging قابل للتحقق ثم Production فقط بموافقة مالك المشروع.</w:t>
            </w:r>
          </w:p>
        </w:tc>
      </w:tr>
    </w:tbl>
    <w:p>
      <w:pPr>
        <w:pStyle w:val="Heading1"/>
        <w:jc w:val="right"/>
        <w:bidi w:val="1"/>
      </w:pPr>
      <w:r>
        <w:rPr>
          <w:rFonts w:ascii="Arial" w:hAnsi="Arial" w:eastAsia="Arial" w:cs="Arial"/>
          <w:b/>
          <w:sz w:val="34"/>
          <w:rtl w:val="1"/>
          <w:lang w:bidi="ar-SA" w:val="ar-SA"/>
        </w:rPr>
        <w:t>16. المتطلبات الوظيفية حسب الموديول</w:t>
      </w:r>
    </w:p>
    <w:p>
      <w:pPr>
        <w:pStyle w:val="Heading2"/>
        <w:jc w:val="right"/>
        <w:bidi w:val="1"/>
      </w:pPr>
      <w:r>
        <w:rPr>
          <w:rFonts w:ascii="Arial" w:hAnsi="Arial" w:eastAsia="Arial" w:cs="Arial"/>
          <w:b/>
          <w:sz w:val="28"/>
          <w:rtl w:val="1"/>
          <w:lang w:bidi="ar-SA" w:val="ar-SA"/>
        </w:rPr>
        <w:t>13.1 الحوكمة</w:t>
      </w:r>
    </w:p>
    <w:p>
      <w:pPr>
        <w:pStyle w:val="ListBullet"/>
        <w:jc w:val="right"/>
        <w:bidi w:val="1"/>
      </w:pPr>
      <w:r>
        <w:rPr>
          <w:rFonts w:ascii="Arial" w:hAnsi="Arial" w:eastAsia="Arial" w:cs="Arial"/>
          <w:rtl w:val="1"/>
          <w:lang w:bidi="ar-SA" w:val="ar-SA"/>
        </w:rPr>
        <w:t>إدارة المجلس واللجان والجمعية العمومية والعضويات والمدد.</w:t>
      </w:r>
    </w:p>
    <w:p>
      <w:pPr>
        <w:pStyle w:val="ListBullet"/>
        <w:jc w:val="right"/>
        <w:bidi w:val="1"/>
      </w:pPr>
      <w:r>
        <w:rPr>
          <w:rFonts w:ascii="Arial" w:hAnsi="Arial" w:eastAsia="Arial" w:cs="Arial"/>
          <w:rtl w:val="1"/>
          <w:lang w:bidi="ar-SA" w:val="ar-SA"/>
        </w:rPr>
        <w:t>سجل سياسات ولوائح بإصدارات وإقرارات اطلاع.</w:t>
      </w:r>
    </w:p>
    <w:p>
      <w:pPr>
        <w:pStyle w:val="ListBullet"/>
        <w:jc w:val="right"/>
        <w:bidi w:val="1"/>
      </w:pPr>
      <w:r>
        <w:rPr>
          <w:rFonts w:ascii="Arial" w:hAnsi="Arial" w:eastAsia="Arial" w:cs="Arial"/>
          <w:rtl w:val="1"/>
          <w:lang w:bidi="ar-SA" w:val="ar-SA"/>
        </w:rPr>
        <w:t>إقرارات تعارض مصالح وتجديدها وإظهارها أثناء الموافقات والمشتريات.</w:t>
      </w:r>
    </w:p>
    <w:p>
      <w:pPr>
        <w:pStyle w:val="ListBullet"/>
        <w:jc w:val="right"/>
        <w:bidi w:val="1"/>
      </w:pPr>
      <w:r>
        <w:rPr>
          <w:rFonts w:ascii="Arial" w:hAnsi="Arial" w:eastAsia="Arial" w:cs="Arial"/>
          <w:rtl w:val="1"/>
          <w:lang w:bidi="ar-SA" w:val="ar-SA"/>
        </w:rPr>
        <w:t>قائمة تحقق/تقييم حوكمة قابلة للتتبع إلى أدلة ومستندات.</w:t>
      </w:r>
    </w:p>
    <w:p>
      <w:pPr>
        <w:pStyle w:val="Heading2"/>
        <w:jc w:val="right"/>
        <w:bidi w:val="1"/>
      </w:pPr>
      <w:r>
        <w:rPr>
          <w:rFonts w:ascii="Arial" w:hAnsi="Arial" w:eastAsia="Arial" w:cs="Arial"/>
          <w:b/>
          <w:sz w:val="28"/>
          <w:rtl w:val="1"/>
          <w:lang w:bidi="ar-SA" w:val="ar-SA"/>
        </w:rPr>
        <w:t>13.2 المستفيدون</w:t>
      </w:r>
    </w:p>
    <w:p>
      <w:pPr>
        <w:pStyle w:val="ListBullet"/>
        <w:jc w:val="right"/>
        <w:bidi w:val="1"/>
      </w:pPr>
      <w:r>
        <w:rPr>
          <w:rFonts w:ascii="Arial" w:hAnsi="Arial" w:eastAsia="Arial" w:cs="Arial"/>
          <w:rtl w:val="1"/>
          <w:lang w:bidi="ar-SA" w:val="ar-SA"/>
        </w:rPr>
        <w:t>المستفيد والأسرة والتحقق ومنع التكرار وتقييم الاستحقاق وسجل الحالة.</w:t>
      </w:r>
    </w:p>
    <w:p>
      <w:pPr>
        <w:pStyle w:val="ListBullet"/>
        <w:jc w:val="right"/>
        <w:bidi w:val="1"/>
      </w:pPr>
      <w:r>
        <w:rPr>
          <w:rFonts w:ascii="Arial" w:hAnsi="Arial" w:eastAsia="Arial" w:cs="Arial"/>
          <w:rtl w:val="1"/>
          <w:lang w:bidi="ar-SA" w:val="ar-SA"/>
        </w:rPr>
        <w:t>ربط المساعدات بالصرف المالي أو العيني والمشروع والجهة الممولة.</w:t>
      </w:r>
    </w:p>
    <w:p>
      <w:pPr>
        <w:pStyle w:val="ListBullet"/>
        <w:jc w:val="right"/>
        <w:bidi w:val="1"/>
      </w:pPr>
      <w:r>
        <w:rPr>
          <w:rFonts w:ascii="Arial" w:hAnsi="Arial" w:eastAsia="Arial" w:cs="Arial"/>
          <w:rtl w:val="1"/>
          <w:lang w:bidi="ar-SA" w:val="ar-SA"/>
        </w:rPr>
        <w:t>الحقول الحساسة محمية بصلاحيات أدق وتسجيل أساس المعالجة/الموافقة عند الحاجة.</w:t>
      </w:r>
    </w:p>
    <w:p>
      <w:pPr>
        <w:pStyle w:val="Heading2"/>
        <w:jc w:val="right"/>
        <w:bidi w:val="1"/>
      </w:pPr>
      <w:r>
        <w:rPr>
          <w:rFonts w:ascii="Arial" w:hAnsi="Arial" w:eastAsia="Arial" w:cs="Arial"/>
          <w:b/>
          <w:sz w:val="28"/>
          <w:rtl w:val="1"/>
          <w:lang w:bidi="ar-SA" w:val="ar-SA"/>
        </w:rPr>
        <w:t>13.3 المشتريات</w:t>
      </w:r>
    </w:p>
    <w:p>
      <w:pPr>
        <w:pStyle w:val="ListBullet"/>
        <w:jc w:val="right"/>
        <w:bidi w:val="1"/>
      </w:pPr>
      <w:r>
        <w:rPr>
          <w:rFonts w:ascii="Arial" w:hAnsi="Arial" w:eastAsia="Arial" w:cs="Arial"/>
          <w:rtl w:val="1"/>
          <w:lang w:bidi="ar-SA" w:val="ar-SA"/>
        </w:rPr>
        <w:t>Requisition → RFQ → تقييم/مقارنة → Purchase Order → Goods Receipt → Vendor Invoice.</w:t>
      </w:r>
    </w:p>
    <w:p>
      <w:pPr>
        <w:pStyle w:val="ListBullet"/>
        <w:jc w:val="right"/>
        <w:bidi w:val="1"/>
      </w:pPr>
      <w:r>
        <w:rPr>
          <w:rFonts w:ascii="Arial" w:hAnsi="Arial" w:eastAsia="Arial" w:cs="Arial"/>
          <w:rtl w:val="1"/>
          <w:lang w:bidi="ar-SA" w:val="ar-SA"/>
        </w:rPr>
        <w:t>حدود موافقات قابلة للإعداد، سجل موردين، تعارض مصالح، وربط بالموازنة والصندوق/المشروع.</w:t>
      </w:r>
    </w:p>
    <w:p>
      <w:pPr>
        <w:pStyle w:val="ListBullet"/>
        <w:jc w:val="right"/>
        <w:bidi w:val="1"/>
      </w:pPr>
      <w:r>
        <w:rPr>
          <w:rFonts w:ascii="Arial" w:hAnsi="Arial" w:eastAsia="Arial" w:cs="Arial"/>
          <w:rtl w:val="1"/>
          <w:lang w:bidi="ar-SA" w:val="ar-SA"/>
        </w:rPr>
        <w:t>Three-way match إلزامي قبل حالة الدفع وفق القاعدة المعتمدة.</w:t>
      </w:r>
    </w:p>
    <w:p>
      <w:pPr>
        <w:pStyle w:val="Heading2"/>
        <w:jc w:val="right"/>
        <w:bidi w:val="1"/>
      </w:pPr>
      <w:r>
        <w:rPr>
          <w:rFonts w:ascii="Arial" w:hAnsi="Arial" w:eastAsia="Arial" w:cs="Arial"/>
          <w:b/>
          <w:sz w:val="28"/>
          <w:rtl w:val="1"/>
          <w:lang w:bidi="ar-SA" w:val="ar-SA"/>
        </w:rPr>
        <w:t>13.4 المخزون</w:t>
      </w:r>
    </w:p>
    <w:p>
      <w:pPr>
        <w:pStyle w:val="ListBullet"/>
        <w:jc w:val="right"/>
        <w:bidi w:val="1"/>
      </w:pPr>
      <w:r>
        <w:rPr>
          <w:rFonts w:ascii="Arial" w:hAnsi="Arial" w:eastAsia="Arial" w:cs="Arial"/>
          <w:rtl w:val="1"/>
          <w:lang w:bidi="ar-SA" w:val="ar-SA"/>
        </w:rPr>
        <w:t>أصناف ومستودعات وأرصدة وحركات وتشغيلات/دفعات وصلاحية.</w:t>
      </w:r>
    </w:p>
    <w:p>
      <w:pPr>
        <w:pStyle w:val="ListBullet"/>
        <w:jc w:val="right"/>
        <w:bidi w:val="1"/>
      </w:pPr>
      <w:r>
        <w:rPr>
          <w:rFonts w:ascii="Arial" w:hAnsi="Arial" w:eastAsia="Arial" w:cs="Arial"/>
          <w:rtl w:val="1"/>
          <w:lang w:bidi="ar-SA" w:val="ar-SA"/>
        </w:rPr>
        <w:t>استلام تبرعات عينية وتقييمها وربط أثرها المالي وفق السياسة.</w:t>
      </w:r>
    </w:p>
    <w:p>
      <w:pPr>
        <w:pStyle w:val="ListBullet"/>
        <w:jc w:val="right"/>
        <w:bidi w:val="1"/>
      </w:pPr>
      <w:r>
        <w:rPr>
          <w:rFonts w:ascii="Arial" w:hAnsi="Arial" w:eastAsia="Arial" w:cs="Arial"/>
          <w:rtl w:val="1"/>
          <w:lang w:bidi="ar-SA" w:val="ar-SA"/>
        </w:rPr>
        <w:t>الصرف لمستفيد أو مشروع مع إثبات الاستلام وسجل حركة كامل.</w:t>
      </w:r>
    </w:p>
    <w:p>
      <w:pPr>
        <w:pStyle w:val="Heading2"/>
        <w:jc w:val="right"/>
        <w:bidi w:val="1"/>
      </w:pPr>
      <w:r>
        <w:rPr>
          <w:rFonts w:ascii="Arial" w:hAnsi="Arial" w:eastAsia="Arial" w:cs="Arial"/>
          <w:b/>
          <w:sz w:val="28"/>
          <w:rtl w:val="1"/>
          <w:lang w:bidi="ar-SA" w:val="ar-SA"/>
        </w:rPr>
        <w:t>13.5 الموارد البشرية</w:t>
      </w:r>
    </w:p>
    <w:p>
      <w:pPr>
        <w:pStyle w:val="ListBullet"/>
        <w:jc w:val="right"/>
        <w:bidi w:val="1"/>
      </w:pPr>
      <w:r>
        <w:rPr>
          <w:rFonts w:ascii="Arial" w:hAnsi="Arial" w:eastAsia="Arial" w:cs="Arial"/>
          <w:rtl w:val="1"/>
          <w:lang w:bidi="ar-SA" w:val="ar-SA"/>
        </w:rPr>
        <w:t>ملف الموظف والتعاقد والتنظيم والوثائق والتنبيهات.</w:t>
      </w:r>
    </w:p>
    <w:p>
      <w:pPr>
        <w:pStyle w:val="ListBullet"/>
        <w:jc w:val="right"/>
        <w:bidi w:val="1"/>
      </w:pPr>
      <w:r>
        <w:rPr>
          <w:rFonts w:ascii="Arial" w:hAnsi="Arial" w:eastAsia="Arial" w:cs="Arial"/>
          <w:rtl w:val="1"/>
          <w:lang w:bidi="ar-SA" w:val="ar-SA"/>
        </w:rPr>
        <w:t>الحضور والإجازات والاستئذان والغياب والعمل عن بعد والطلبات الموحدة.</w:t>
      </w:r>
    </w:p>
    <w:p>
      <w:pPr>
        <w:pStyle w:val="ListBullet"/>
        <w:jc w:val="right"/>
        <w:bidi w:val="1"/>
      </w:pPr>
      <w:r>
        <w:rPr>
          <w:rFonts w:ascii="Arial" w:hAnsi="Arial" w:eastAsia="Arial" w:cs="Arial"/>
          <w:rtl w:val="1"/>
          <w:lang w:bidi="ar-SA" w:val="ar-SA"/>
        </w:rPr>
        <w:t>الرواتب والتأمينات ومخرجات البنك/WPS عند توافر آلية التكامل.</w:t>
      </w:r>
    </w:p>
    <w:p>
      <w:pPr>
        <w:pStyle w:val="ListBullet"/>
        <w:jc w:val="right"/>
        <w:bidi w:val="1"/>
      </w:pPr>
      <w:r>
        <w:rPr>
          <w:rFonts w:ascii="Arial" w:hAnsi="Arial" w:eastAsia="Arial" w:cs="Arial"/>
          <w:rtl w:val="1"/>
          <w:lang w:bidi="ar-SA" w:val="ar-SA"/>
        </w:rPr>
        <w:t>التعويضات والسلف والعهد والأداء والتدريب والخدمة الذاتية.</w:t>
      </w:r>
    </w:p>
    <w:p>
      <w:pPr>
        <w:pStyle w:val="Heading2"/>
        <w:jc w:val="right"/>
        <w:bidi w:val="1"/>
      </w:pPr>
      <w:r>
        <w:rPr>
          <w:rFonts w:ascii="Arial" w:hAnsi="Arial" w:eastAsia="Arial" w:cs="Arial"/>
          <w:b/>
          <w:sz w:val="28"/>
          <w:rtl w:val="1"/>
          <w:lang w:bidi="ar-SA" w:val="ar-SA"/>
        </w:rPr>
        <w:t>13.6 العهد والأصول</w:t>
      </w:r>
    </w:p>
    <w:p>
      <w:pPr>
        <w:pStyle w:val="ListBullet"/>
        <w:jc w:val="right"/>
        <w:bidi w:val="1"/>
      </w:pPr>
      <w:r>
        <w:rPr>
          <w:rFonts w:ascii="Arial" w:hAnsi="Arial" w:eastAsia="Arial" w:cs="Arial"/>
          <w:rtl w:val="1"/>
          <w:lang w:bidi="ar-SA" w:val="ar-SA"/>
        </w:rPr>
        <w:t>Asset master موحد يتضمن الكود والنوع والرقم التسلسلي والقيمة والموقع والضمان والتأمين والحالة.</w:t>
      </w:r>
    </w:p>
    <w:p>
      <w:pPr>
        <w:pStyle w:val="ListBullet"/>
        <w:jc w:val="right"/>
        <w:bidi w:val="1"/>
      </w:pPr>
      <w:r>
        <w:rPr>
          <w:rFonts w:ascii="Arial" w:hAnsi="Arial" w:eastAsia="Arial" w:cs="Arial"/>
          <w:rtl w:val="1"/>
          <w:lang w:bidi="ar-SA" w:val="ar-SA"/>
        </w:rPr>
        <w:t>Custody history للموظف أو الفريق أو المشروع أو الموقع، مع التسليم والاسترجاع والحالة والتوقيع/المرفق.</w:t>
      </w:r>
    </w:p>
    <w:p>
      <w:pPr>
        <w:pStyle w:val="ListBullet"/>
        <w:jc w:val="right"/>
        <w:bidi w:val="1"/>
      </w:pPr>
      <w:r>
        <w:rPr>
          <w:rFonts w:ascii="Arial" w:hAnsi="Arial" w:eastAsia="Arial" w:cs="Arial"/>
          <w:rtl w:val="1"/>
          <w:lang w:bidi="ar-SA" w:val="ar-SA"/>
        </w:rPr>
        <w:t>الصيانة والجرد والاستبعاد وسجل الحركة والربط بالمشتريات والمالية عند الحاجة.</w:t>
      </w:r>
    </w:p>
    <w:p>
      <w:pPr>
        <w:pStyle w:val="Heading2"/>
        <w:jc w:val="right"/>
        <w:bidi w:val="1"/>
      </w:pPr>
      <w:r>
        <w:rPr>
          <w:rFonts w:ascii="Arial" w:hAnsi="Arial" w:eastAsia="Arial" w:cs="Arial"/>
          <w:b/>
          <w:sz w:val="28"/>
          <w:rtl w:val="1"/>
          <w:lang w:bidi="ar-SA" w:val="ar-SA"/>
        </w:rPr>
        <w:t>13.7 المالية</w:t>
      </w:r>
    </w:p>
    <w:p>
      <w:pPr>
        <w:pStyle w:val="ListBullet"/>
        <w:jc w:val="right"/>
        <w:bidi w:val="1"/>
      </w:pPr>
      <w:r>
        <w:rPr>
          <w:rFonts w:ascii="Arial" w:hAnsi="Arial" w:eastAsia="Arial" w:cs="Arial"/>
          <w:rtl w:val="1"/>
          <w:lang w:bidi="ar-SA" w:val="ar-SA"/>
        </w:rPr>
        <w:t>قيد مزدوج ودليل حسابات موحد ومراكز تكلفة وصناديق unrestricted/restricted/endowment.</w:t>
      </w:r>
    </w:p>
    <w:p>
      <w:pPr>
        <w:pStyle w:val="ListBullet"/>
        <w:jc w:val="right"/>
        <w:bidi w:val="1"/>
      </w:pPr>
      <w:r>
        <w:rPr>
          <w:rFonts w:ascii="Arial" w:hAnsi="Arial" w:eastAsia="Arial" w:cs="Arial"/>
          <w:rtl w:val="1"/>
          <w:lang w:bidi="ar-SA" w:val="ar-SA"/>
        </w:rPr>
        <w:t>الحملات والتبرعات متعددة القنوات ومنع التكرار والتسويات وربط الغرض.</w:t>
      </w:r>
    </w:p>
    <w:p>
      <w:pPr>
        <w:pStyle w:val="ListBullet"/>
        <w:jc w:val="right"/>
        <w:bidi w:val="1"/>
      </w:pPr>
      <w:r>
        <w:rPr>
          <w:rFonts w:ascii="Arial" w:hAnsi="Arial" w:eastAsia="Arial" w:cs="Arial"/>
          <w:rtl w:val="1"/>
          <w:lang w:bidi="ar-SA" w:val="ar-SA"/>
        </w:rPr>
        <w:t>موازنات واستهلاك فعلي وربط المشتريات والصرف بالمشروع/الصندوق.</w:t>
      </w:r>
    </w:p>
    <w:p>
      <w:pPr>
        <w:pStyle w:val="ListBullet"/>
        <w:jc w:val="right"/>
        <w:bidi w:val="1"/>
      </w:pPr>
      <w:r>
        <w:rPr>
          <w:rFonts w:ascii="Arial" w:hAnsi="Arial" w:eastAsia="Arial" w:cs="Arial"/>
          <w:rtl w:val="1"/>
          <w:lang w:bidi="ar-SA" w:val="ar-SA"/>
        </w:rPr>
        <w:t>الوقف وحساباته وتقاريره، والفصل بين التبرعات والنشاط الخاضع للضريبة.</w:t>
      </w:r>
    </w:p>
    <w:p>
      <w:pPr>
        <w:pStyle w:val="ListBullet"/>
        <w:jc w:val="right"/>
        <w:bidi w:val="1"/>
      </w:pPr>
      <w:r>
        <w:rPr>
          <w:rFonts w:ascii="Arial" w:hAnsi="Arial" w:eastAsia="Arial" w:cs="Arial"/>
          <w:rtl w:val="1"/>
          <w:lang w:bidi="ar-SA" w:val="ar-SA"/>
        </w:rPr>
        <w:t>تقارير التحصيل والصرف والقوائم والتقارير المطلوبة للامتثال وفق ما يتم اعتماده.</w:t>
      </w:r>
    </w:p>
    <w:p>
      <w:pPr>
        <w:pStyle w:val="Heading2"/>
        <w:jc w:val="right"/>
        <w:bidi w:val="1"/>
      </w:pPr>
      <w:r>
        <w:rPr>
          <w:rFonts w:ascii="Arial" w:hAnsi="Arial" w:eastAsia="Arial" w:cs="Arial"/>
          <w:b/>
          <w:sz w:val="28"/>
          <w:rtl w:val="1"/>
          <w:lang w:bidi="ar-SA" w:val="ar-SA"/>
        </w:rPr>
        <w:t>13.8 المشاريع والبرامج</w:t>
      </w:r>
    </w:p>
    <w:p>
      <w:pPr>
        <w:pStyle w:val="ListBullet"/>
        <w:jc w:val="right"/>
        <w:bidi w:val="1"/>
      </w:pPr>
      <w:r>
        <w:rPr>
          <w:rFonts w:ascii="Arial" w:hAnsi="Arial" w:eastAsia="Arial" w:cs="Arial"/>
          <w:rtl w:val="1"/>
          <w:lang w:bidi="ar-SA" w:val="ar-SA"/>
        </w:rPr>
        <w:t>المشروع والمراحل والمهام والموازنة والتمويل والمنح والالتزامات.</w:t>
      </w:r>
    </w:p>
    <w:p>
      <w:pPr>
        <w:pStyle w:val="ListBullet"/>
        <w:jc w:val="right"/>
        <w:bidi w:val="1"/>
      </w:pPr>
      <w:r>
        <w:rPr>
          <w:rFonts w:ascii="Arial" w:hAnsi="Arial" w:eastAsia="Arial" w:cs="Arial"/>
          <w:rtl w:val="1"/>
          <w:lang w:bidi="ar-SA" w:val="ar-SA"/>
        </w:rPr>
        <w:t>ربط المستفيدين والمشتريات والمخزون والمصروفات والموارد.</w:t>
      </w:r>
    </w:p>
    <w:p>
      <w:pPr>
        <w:pStyle w:val="ListBullet"/>
        <w:jc w:val="right"/>
        <w:bidi w:val="1"/>
      </w:pPr>
      <w:r>
        <w:rPr>
          <w:rFonts w:ascii="Arial" w:hAnsi="Arial" w:eastAsia="Arial" w:cs="Arial"/>
          <w:rtl w:val="1"/>
          <w:lang w:bidi="ar-SA" w:val="ar-SA"/>
        </w:rPr>
        <w:t>KPIs والمخرجات والنتائج وقياس الأثر والتقارير للمانحين.</w:t>
      </w:r>
    </w:p>
    <w:p>
      <w:pPr>
        <w:pStyle w:val="Heading2"/>
        <w:jc w:val="right"/>
        <w:bidi w:val="1"/>
      </w:pPr>
      <w:r>
        <w:rPr>
          <w:rFonts w:ascii="Arial" w:hAnsi="Arial" w:eastAsia="Arial" w:cs="Arial"/>
          <w:b/>
          <w:sz w:val="28"/>
          <w:rtl w:val="1"/>
          <w:lang w:bidi="ar-SA" w:val="ar-SA"/>
        </w:rPr>
        <w:t>13.9 الاجتماعات</w:t>
      </w:r>
    </w:p>
    <w:p>
      <w:pPr>
        <w:pStyle w:val="ListBullet"/>
        <w:jc w:val="right"/>
        <w:bidi w:val="1"/>
      </w:pPr>
      <w:r>
        <w:rPr>
          <w:rFonts w:ascii="Arial" w:hAnsi="Arial" w:eastAsia="Arial" w:cs="Arial"/>
          <w:rtl w:val="1"/>
          <w:lang w:bidi="ar-SA" w:val="ar-SA"/>
        </w:rPr>
        <w:t>جدولة وجدول أعمال ومستندات مسبقة وحضور ونصاب.</w:t>
      </w:r>
    </w:p>
    <w:p>
      <w:pPr>
        <w:pStyle w:val="ListBullet"/>
        <w:jc w:val="right"/>
        <w:bidi w:val="1"/>
      </w:pPr>
      <w:r>
        <w:rPr>
          <w:rFonts w:ascii="Arial" w:hAnsi="Arial" w:eastAsia="Arial" w:cs="Arial"/>
          <w:rtl w:val="1"/>
          <w:lang w:bidi="ar-SA" w:val="ar-SA"/>
        </w:rPr>
        <w:t>محضر وقرارات وتصويت ومهام وإسناد ومتابعة وإغلاق.</w:t>
      </w:r>
    </w:p>
    <w:p>
      <w:pPr>
        <w:pStyle w:val="Heading2"/>
        <w:jc w:val="right"/>
        <w:bidi w:val="1"/>
      </w:pPr>
      <w:r>
        <w:rPr>
          <w:rFonts w:ascii="Arial" w:hAnsi="Arial" w:eastAsia="Arial" w:cs="Arial"/>
          <w:b/>
          <w:sz w:val="28"/>
          <w:rtl w:val="1"/>
          <w:lang w:bidi="ar-SA" w:val="ar-SA"/>
        </w:rPr>
        <w:t>13.10 التقارير والإشعارات</w:t>
      </w:r>
    </w:p>
    <w:p>
      <w:pPr>
        <w:pStyle w:val="ListBullet"/>
        <w:jc w:val="right"/>
        <w:bidi w:val="1"/>
      </w:pPr>
      <w:r>
        <w:rPr>
          <w:rFonts w:ascii="Arial" w:hAnsi="Arial" w:eastAsia="Arial" w:cs="Arial"/>
          <w:rtl w:val="1"/>
          <w:lang w:bidi="ar-SA" w:val="ar-SA"/>
        </w:rPr>
        <w:t>Dashboards حسب الدور والجهة من بيانات تشغيلية حية.</w:t>
      </w:r>
    </w:p>
    <w:p>
      <w:pPr>
        <w:pStyle w:val="ListBullet"/>
        <w:jc w:val="right"/>
        <w:bidi w:val="1"/>
      </w:pPr>
      <w:r>
        <w:rPr>
          <w:rFonts w:ascii="Arial" w:hAnsi="Arial" w:eastAsia="Arial" w:cs="Arial"/>
          <w:rtl w:val="1"/>
          <w:lang w:bidi="ar-SA" w:val="ar-SA"/>
        </w:rPr>
        <w:t>تصدير PDF/Excel وجدولة التقارير الثقيلة كمهام غير متزامنة.</w:t>
      </w:r>
    </w:p>
    <w:p>
      <w:pPr>
        <w:pStyle w:val="ListBullet"/>
        <w:jc w:val="right"/>
        <w:bidi w:val="1"/>
      </w:pPr>
      <w:r>
        <w:rPr>
          <w:rFonts w:ascii="Arial" w:hAnsi="Arial" w:eastAsia="Arial" w:cs="Arial"/>
          <w:rtl w:val="1"/>
          <w:lang w:bidi="ar-SA" w:val="ar-SA"/>
        </w:rPr>
        <w:t>إشعارات داخلية وبريد وSMS من خدمة مركزية وقوالب حسب الجهة.</w:t>
      </w:r>
    </w:p>
    <w:p>
      <w:pPr>
        <w:pStyle w:val="Heading1"/>
        <w:jc w:val="right"/>
        <w:bidi w:val="1"/>
      </w:pPr>
      <w:r>
        <w:rPr>
          <w:rFonts w:ascii="Arial" w:hAnsi="Arial" w:eastAsia="Arial" w:cs="Arial"/>
          <w:b/>
          <w:sz w:val="34"/>
          <w:rtl w:val="1"/>
          <w:lang w:bidi="ar-SA" w:val="ar-SA"/>
        </w:rPr>
        <w:t>17. التكاملات الخارجية</w:t>
      </w:r>
    </w:p>
    <w:p>
      <w:pPr>
        <w:spacing w:after="100"/>
        <w:jc w:val="right"/>
        <w:bidi w:val="1"/>
      </w:pPr>
      <w:r>
        <w:rPr>
          <w:rFonts w:ascii="Arial" w:hAnsi="Arial" w:eastAsia="Arial" w:cs="Arial"/>
          <w:rtl w:val="1"/>
          <w:lang w:bidi="ar-SA" w:val="ar-SA"/>
        </w:rPr>
        <w:t>نفاذ، يقين، إحسان، زد، سلة، نقاط/أجهزة التبرع، البنوك، ZATCA، قوائم، GOSI، SMS وغيرها تعامل كAdapters قابلة للاستبدال. الآلية الدقيقة لكل تكامل (API/مزود معتمد/ملف/بوابة/Webhook) تظل TBD حتى توفر معلومات رسمية.</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حظر اختلاق التكامل</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ممنوع كتابة Endpoints أو Credentials أو Payloads مفترضة على أنها تكامل إنتاجي مع جهة حكومية. عند غياب الوثائق الرسمية يبنى Interface + Mock/Stub + Mapping contract واضح ويصنف التنفيذ بأنه غير متصل.</w:t>
            </w:r>
          </w:p>
        </w:tc>
      </w:tr>
    </w:tbl>
    <w:p>
      <w:pPr>
        <w:pStyle w:val="Heading1"/>
        <w:jc w:val="right"/>
        <w:bidi w:val="1"/>
      </w:pPr>
      <w:r>
        <w:rPr>
          <w:rFonts w:ascii="Arial" w:hAnsi="Arial" w:eastAsia="Arial" w:cs="Arial"/>
          <w:b/>
          <w:sz w:val="34"/>
          <w:rtl w:val="1"/>
          <w:lang w:bidi="ar-SA" w:val="ar-SA"/>
        </w:rPr>
        <w:t>18. المتطلبات غير الوظيفية</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المعرف</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المتطلب</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الهدف</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NFR-PF-01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الشاشات التفاعلية تستهدف استجابة تقارب ثانية واحدة عند P95 ضمن الحمل المتوقع.</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NFR-PF-02</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التقارير الثقيلة والمزامنة تعمل Async.</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NFR-AV-01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التطبيق الأساسي يستهدف توفر 99.9% في الإنتاج.</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NFR-SC-01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طبقة API Stateless وقابلة للتوسع الأفقي.</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NFR-SC-02</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تصميم البيانات يدعم عددًا كبيرًا من المستأجرين دون كشف متبادل.</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NFR-SE-01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TLS للنقل وتشفير البيانات المخزنة.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NFR-SE-02</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National ID والبيانات البنكية مشفرة Field-level.</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NFR-SE-03</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OWASP-aligned controls + dependency/secret scanning.</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NFR-PR-01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المعالجة والبيانات الشخصية/المالية ضمن الإقامة المعتمدة داخل المملكة.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NFR-LO-01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واجهة ثنائية اللغة منذ البداية؛ العربية افتراضية وRTL، الإنجليزية LTR، مع هجري/ميلادي.</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NFR-MO-01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Logs, metrics, traces تحمل tenant/correlation tags دون كشف بيانات حساسة.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NFR-MO-02</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Terraform وCI/CD gates للبنية والنشر.</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MUST</w:t>
            </w:r>
          </w:p>
        </w:tc>
      </w:tr>
    </w:tbl>
    <w:p>
      <w:pPr>
        <w:pStyle w:val="Heading1"/>
        <w:jc w:val="right"/>
        <w:bidi w:val="1"/>
      </w:pPr>
      <w:r>
        <w:rPr>
          <w:rFonts w:ascii="Arial" w:hAnsi="Arial" w:eastAsia="Arial" w:cs="Arial"/>
          <w:b/>
          <w:sz w:val="34"/>
          <w:rtl w:val="1"/>
          <w:lang w:bidi="ar-SA" w:val="ar-SA"/>
        </w:rPr>
        <w:t>19. الاختبارات كبند تعاقدي</w:t>
      </w:r>
    </w:p>
    <w:p>
      <w:pPr>
        <w:pStyle w:val="ListNumber"/>
        <w:jc w:val="right"/>
        <w:bidi w:val="1"/>
      </w:pPr>
      <w:r>
        <w:rPr>
          <w:rFonts w:ascii="Arial" w:hAnsi="Arial" w:eastAsia="Arial" w:cs="Arial"/>
          <w:rtl w:val="1"/>
          <w:lang w:bidi="ar-SA" w:val="ar-SA"/>
        </w:rPr>
        <w:t>Unit tests لمنطق الأعمال الحرج.</w:t>
      </w:r>
    </w:p>
    <w:p>
      <w:pPr>
        <w:pStyle w:val="ListNumber"/>
        <w:jc w:val="right"/>
        <w:bidi w:val="1"/>
      </w:pPr>
      <w:r>
        <w:rPr>
          <w:rFonts w:ascii="Arial" w:hAnsi="Arial" w:eastAsia="Arial" w:cs="Arial"/>
          <w:rtl w:val="1"/>
          <w:lang w:bidi="ar-SA" w:val="ar-SA"/>
        </w:rPr>
        <w:t>Integration tests لقاعدة البيانات وRLS والموافقات والمعاملات المالية.</w:t>
      </w:r>
    </w:p>
    <w:p>
      <w:pPr>
        <w:pStyle w:val="ListNumber"/>
        <w:jc w:val="right"/>
        <w:bidi w:val="1"/>
      </w:pPr>
      <w:r>
        <w:rPr>
          <w:rFonts w:ascii="Arial" w:hAnsi="Arial" w:eastAsia="Arial" w:cs="Arial"/>
          <w:rtl w:val="1"/>
          <w:lang w:bidi="ar-SA" w:val="ar-SA"/>
        </w:rPr>
        <w:t>API tests للعقود والصلاحيات والأخطاء.</w:t>
      </w:r>
    </w:p>
    <w:p>
      <w:pPr>
        <w:pStyle w:val="ListNumber"/>
        <w:jc w:val="right"/>
        <w:bidi w:val="1"/>
      </w:pPr>
      <w:r>
        <w:rPr>
          <w:rFonts w:ascii="Arial" w:hAnsi="Arial" w:eastAsia="Arial" w:cs="Arial"/>
          <w:rtl w:val="1"/>
          <w:lang w:bidi="ar-SA" w:val="ar-SA"/>
        </w:rPr>
        <w:t>E2E للسيناريوهات الأساسية عالية القيمة عندما تستقر الواجهات.</w:t>
      </w:r>
    </w:p>
    <w:p>
      <w:pPr>
        <w:pStyle w:val="ListNumber"/>
        <w:jc w:val="right"/>
        <w:bidi w:val="1"/>
      </w:pPr>
      <w:r>
        <w:rPr>
          <w:rFonts w:ascii="Arial" w:hAnsi="Arial" w:eastAsia="Arial" w:cs="Arial"/>
          <w:rtl w:val="1"/>
          <w:lang w:bidi="ar-SA" w:val="ar-SA"/>
        </w:rPr>
        <w:t>اختبارات عزل Tenant إلزامية ولا يجوز تجاوزها.</w:t>
      </w:r>
    </w:p>
    <w:p>
      <w:pPr>
        <w:pStyle w:val="ListNumber"/>
        <w:jc w:val="right"/>
        <w:bidi w:val="1"/>
      </w:pPr>
      <w:r>
        <w:rPr>
          <w:rFonts w:ascii="Arial" w:hAnsi="Arial" w:eastAsia="Arial" w:cs="Arial"/>
          <w:rtl w:val="1"/>
          <w:lang w:bidi="ar-SA" w:val="ar-SA"/>
        </w:rPr>
        <w:t>كل إصلاح Bug جوهري يجب أن يتبعه Regression test يعيد إنتاج الخطأ السابق.</w:t>
      </w:r>
    </w:p>
    <w:p>
      <w:pPr>
        <w:pStyle w:val="ListNumber"/>
        <w:jc w:val="right"/>
        <w:bidi w:val="1"/>
      </w:pPr>
      <w:r>
        <w:rPr>
          <w:rFonts w:ascii="Arial" w:hAnsi="Arial" w:eastAsia="Arial" w:cs="Arial"/>
          <w:rtl w:val="1"/>
          <w:lang w:bidi="ar-SA" w:val="ar-SA"/>
        </w:rPr>
        <w:t>لا يعتبر التغيير مكتملًا إذا لم يذكر الوكيل ما الذي اختبره ونتيجة الاختبار.</w:t>
      </w:r>
    </w:p>
    <w:p>
      <w:pPr>
        <w:pStyle w:val="Heading1"/>
        <w:jc w:val="right"/>
        <w:bidi w:val="1"/>
      </w:pPr>
      <w:r>
        <w:rPr>
          <w:rFonts w:ascii="Arial" w:hAnsi="Arial" w:eastAsia="Arial" w:cs="Arial"/>
          <w:b/>
          <w:sz w:val="34"/>
          <w:rtl w:val="1"/>
          <w:lang w:bidi="ar-SA" w:val="ar-SA"/>
        </w:rPr>
        <w:t>20. عقد تعديل الكود بواسطة Claude Code</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المرحلة</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التزام الوكيل</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قبل التنفيذ</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في Phase 0: التأسيس من الصفر حسب الخطة. بعد ذلك: قراءة الملفات المرتبطة + تحديد البنية التي أنشئت + كشف التبعيات + المخاطر + خطة مختصرة.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أثناء التنفيذ</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إنشاء/تعديل أقل نطاق كافٍ للمرحلة الحالية، دون إدخال Stack موازٍ، مع احترام الأنماط التي تم اعتمادها في المراحل السابقة.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قاعدة البيانات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Migration فقط؛ لا Reset تلقائي ولا بيانات تجريبية تكتب فوق بيانات فعلية.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بعد التعديل</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تشغيل الاختبارات/Build/Lint/Type check المناسبة وإصلاح ما سببه التغيير.</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التقرير</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ذكر كل ملف جديد أو معدل أو محذوف، ومساره، ولماذا تغير، وأي أمر Migration/Run مطلوب.</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الرجوع</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عند تغيير حساس يوضح الوكيل طريقة Rollback أو أثر الرجوع.</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الغموض</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إذا كانت هناك عدة تفسيرات تؤثر على البيانات أو المعمارية أو دورة العمل، يتوقف ويسأل بدل التخمين.</w:t>
            </w:r>
          </w:p>
        </w:tc>
      </w:tr>
    </w:tbl>
    <w:p>
      <w:pPr>
        <w:pStyle w:val="Heading1"/>
        <w:jc w:val="right"/>
        <w:bidi w:val="1"/>
      </w:pPr>
      <w:r>
        <w:rPr>
          <w:rFonts w:ascii="Arial" w:hAnsi="Arial" w:eastAsia="Arial" w:cs="Arial"/>
          <w:b/>
          <w:sz w:val="34"/>
          <w:rtl w:val="1"/>
          <w:lang w:bidi="ar-SA" w:val="ar-SA"/>
        </w:rPr>
        <w:t>21. المحظورات الصريحة على الوكيل</w:t>
      </w:r>
    </w:p>
    <w:p>
      <w:pPr>
        <w:pStyle w:val="ListBullet"/>
        <w:jc w:val="right"/>
        <w:bidi w:val="1"/>
      </w:pPr>
      <w:r>
        <w:rPr>
          <w:rFonts w:ascii="Arial" w:hAnsi="Arial" w:eastAsia="Arial" w:cs="Arial"/>
          <w:rtl w:val="1"/>
          <w:lang w:bidi="ar-SA" w:val="ar-SA"/>
        </w:rPr>
        <w:t>بعد تأسيس Phase 0، إعادة بناء المشروع أو تغيير هيكله الجذري لمجرد تحسين التنظيم.</w:t>
      </w:r>
    </w:p>
    <w:p>
      <w:pPr>
        <w:pStyle w:val="ListBullet"/>
        <w:jc w:val="right"/>
        <w:bidi w:val="1"/>
      </w:pPr>
      <w:r>
        <w:rPr>
          <w:rFonts w:ascii="Arial" w:hAnsi="Arial" w:eastAsia="Arial" w:cs="Arial"/>
          <w:rtl w:val="1"/>
          <w:lang w:bidi="ar-SA" w:val="ar-SA"/>
        </w:rPr>
        <w:t>استبدال React/Vite أو FastAPI أو PostgreSQL أو Redis أو OCI/OKE.</w:t>
      </w:r>
    </w:p>
    <w:p>
      <w:pPr>
        <w:pStyle w:val="ListBullet"/>
        <w:jc w:val="right"/>
        <w:bidi w:val="1"/>
      </w:pPr>
      <w:r>
        <w:rPr>
          <w:rFonts w:ascii="Arial" w:hAnsi="Arial" w:eastAsia="Arial" w:cs="Arial"/>
          <w:rtl w:val="1"/>
          <w:lang w:bidi="ar-SA" w:val="ar-SA"/>
        </w:rPr>
        <w:t>تعطيل RLS لتسهيل التطوير أو الاختبار.</w:t>
      </w:r>
    </w:p>
    <w:p>
      <w:pPr>
        <w:pStyle w:val="ListBullet"/>
        <w:jc w:val="right"/>
        <w:bidi w:val="1"/>
      </w:pPr>
      <w:r>
        <w:rPr>
          <w:rFonts w:ascii="Arial" w:hAnsi="Arial" w:eastAsia="Arial" w:cs="Arial"/>
          <w:rtl w:val="1"/>
          <w:lang w:bidi="ar-SA" w:val="ar-SA"/>
        </w:rPr>
        <w:t>استخدام SQLite كمسار تشغيل بديل ثم افتراض أن السلوك يماثل PostgreSQL.</w:t>
      </w:r>
    </w:p>
    <w:p>
      <w:pPr>
        <w:pStyle w:val="ListBullet"/>
        <w:jc w:val="right"/>
        <w:bidi w:val="1"/>
      </w:pPr>
      <w:r>
        <w:rPr>
          <w:rFonts w:ascii="Arial" w:hAnsi="Arial" w:eastAsia="Arial" w:cs="Arial"/>
          <w:rtl w:val="1"/>
          <w:lang w:bidi="ar-SA" w:val="ar-SA"/>
        </w:rPr>
        <w:t>تخزين ملفات Production في مجلد uploads محلي كحل نهائي.</w:t>
      </w:r>
    </w:p>
    <w:p>
      <w:pPr>
        <w:pStyle w:val="ListBullet"/>
        <w:jc w:val="right"/>
        <w:bidi w:val="1"/>
      </w:pPr>
      <w:r>
        <w:rPr>
          <w:rFonts w:ascii="Arial" w:hAnsi="Arial" w:eastAsia="Arial" w:cs="Arial"/>
          <w:rtl w:val="1"/>
          <w:lang w:bidi="ar-SA" w:val="ar-SA"/>
        </w:rPr>
        <w:t>إضافة مكتبات كبيرة متداخلة الوظائف دون سبب موثق.</w:t>
      </w:r>
    </w:p>
    <w:p>
      <w:pPr>
        <w:pStyle w:val="ListBullet"/>
        <w:jc w:val="right"/>
        <w:bidi w:val="1"/>
      </w:pPr>
      <w:r>
        <w:rPr>
          <w:rFonts w:ascii="Arial" w:hAnsi="Arial" w:eastAsia="Arial" w:cs="Arial"/>
          <w:rtl w:val="1"/>
          <w:lang w:bidi="ar-SA" w:val="ar-SA"/>
        </w:rPr>
        <w:t>تغيير أسماء API/حقول/جداول المستخدمة دون خطة Compatibility/Migration.</w:t>
      </w:r>
    </w:p>
    <w:p>
      <w:pPr>
        <w:pStyle w:val="ListBullet"/>
        <w:jc w:val="right"/>
        <w:bidi w:val="1"/>
      </w:pPr>
      <w:r>
        <w:rPr>
          <w:rFonts w:ascii="Arial" w:hAnsi="Arial" w:eastAsia="Arial" w:cs="Arial"/>
          <w:rtl w:val="1"/>
          <w:lang w:bidi="ar-SA" w:val="ar-SA"/>
        </w:rPr>
        <w:t>حذف تاريخ التدقيق أو تعديل سجلات مالية معتمدة مباشرة.</w:t>
      </w:r>
    </w:p>
    <w:p>
      <w:pPr>
        <w:pStyle w:val="ListBullet"/>
        <w:jc w:val="right"/>
        <w:bidi w:val="1"/>
      </w:pPr>
      <w:r>
        <w:rPr>
          <w:rFonts w:ascii="Arial" w:hAnsi="Arial" w:eastAsia="Arial" w:cs="Arial"/>
          <w:rtl w:val="1"/>
          <w:lang w:bidi="ar-SA" w:val="ar-SA"/>
        </w:rPr>
        <w:t>Commit أسرار أو بيانات شخصية أو مفاتيح خدمة.</w:t>
      </w:r>
    </w:p>
    <w:p>
      <w:pPr>
        <w:pStyle w:val="ListBullet"/>
        <w:jc w:val="right"/>
        <w:bidi w:val="1"/>
      </w:pPr>
      <w:r>
        <w:rPr>
          <w:rFonts w:ascii="Arial" w:hAnsi="Arial" w:eastAsia="Arial" w:cs="Arial"/>
          <w:rtl w:val="1"/>
          <w:lang w:bidi="ar-SA" w:val="ar-SA"/>
        </w:rPr>
        <w:t>اختلاق نتائج اختبار أو الادعاء بأن الوظيفة تعمل دون تنفيذ تحقق مناسب.</w:t>
      </w:r>
    </w:p>
    <w:p>
      <w:pPr>
        <w:pStyle w:val="ListBullet"/>
        <w:jc w:val="right"/>
        <w:bidi w:val="1"/>
      </w:pPr>
      <w:r>
        <w:rPr>
          <w:rFonts w:ascii="Arial" w:hAnsi="Arial" w:eastAsia="Arial" w:cs="Arial"/>
          <w:rtl w:val="1"/>
          <w:lang w:bidi="ar-SA" w:val="ar-SA"/>
        </w:rPr>
        <w:t>تغيير تصميم الواجهة أو هوية المشروع خارج نطاق المهمة البرمجية المطلوبة.</w:t>
      </w:r>
    </w:p>
    <w:p>
      <w:pPr>
        <w:pStyle w:val="Heading1"/>
        <w:jc w:val="right"/>
        <w:bidi w:val="1"/>
      </w:pPr>
      <w:r>
        <w:rPr>
          <w:rFonts w:ascii="Arial" w:hAnsi="Arial" w:eastAsia="Arial" w:cs="Arial"/>
          <w:b/>
          <w:sz w:val="34"/>
          <w:rtl w:val="1"/>
          <w:lang w:bidi="ar-SA" w:val="ar-SA"/>
        </w:rPr>
        <w:t>22. معايير القبول Definition of Done</w:t>
      </w:r>
    </w:p>
    <w:p>
      <w:pPr>
        <w:pStyle w:val="ListNumber"/>
        <w:jc w:val="right"/>
        <w:bidi w:val="1"/>
      </w:pPr>
      <w:r>
        <w:rPr>
          <w:rFonts w:ascii="Arial" w:hAnsi="Arial" w:eastAsia="Arial" w:cs="Arial"/>
          <w:rtl w:val="1"/>
          <w:lang w:bidi="ar-SA" w:val="ar-SA"/>
        </w:rPr>
        <w:t>المطلب المحدد منفذ بالكامل وليس جزءًا شكليًا فقط.</w:t>
      </w:r>
    </w:p>
    <w:p>
      <w:pPr>
        <w:pStyle w:val="ListNumber"/>
        <w:jc w:val="right"/>
        <w:bidi w:val="1"/>
      </w:pPr>
      <w:r>
        <w:rPr>
          <w:rFonts w:ascii="Arial" w:hAnsi="Arial" w:eastAsia="Arial" w:cs="Arial"/>
          <w:rtl w:val="1"/>
          <w:lang w:bidi="ar-SA" w:val="ar-SA"/>
        </w:rPr>
        <w:t>لا يوجد فقد لوظيفة قائمة خارج نطاق التغيير.</w:t>
      </w:r>
    </w:p>
    <w:p>
      <w:pPr>
        <w:pStyle w:val="ListNumber"/>
        <w:jc w:val="right"/>
        <w:bidi w:val="1"/>
      </w:pPr>
      <w:r>
        <w:rPr>
          <w:rFonts w:ascii="Arial" w:hAnsi="Arial" w:eastAsia="Arial" w:cs="Arial"/>
          <w:rtl w:val="1"/>
          <w:lang w:bidi="ar-SA" w:val="ar-SA"/>
        </w:rPr>
        <w:t>الصلاحيات وTenant isolation تعمل في Backend وقاعدة البيانات حيث ينطبق.</w:t>
      </w:r>
    </w:p>
    <w:p>
      <w:pPr>
        <w:pStyle w:val="ListNumber"/>
        <w:jc w:val="right"/>
        <w:bidi w:val="1"/>
      </w:pPr>
      <w:r>
        <w:rPr>
          <w:rFonts w:ascii="Arial" w:hAnsi="Arial" w:eastAsia="Arial" w:cs="Arial"/>
          <w:rtl w:val="1"/>
          <w:lang w:bidi="ar-SA" w:val="ar-SA"/>
        </w:rPr>
        <w:t>البيانات والمهاجرات متسقة ويمكن تطبيقها على بيئة قائمة.</w:t>
      </w:r>
    </w:p>
    <w:p>
      <w:pPr>
        <w:pStyle w:val="ListNumber"/>
        <w:jc w:val="right"/>
        <w:bidi w:val="1"/>
      </w:pPr>
      <w:r>
        <w:rPr>
          <w:rFonts w:ascii="Arial" w:hAnsi="Arial" w:eastAsia="Arial" w:cs="Arial"/>
          <w:rtl w:val="1"/>
          <w:lang w:bidi="ar-SA" w:val="ar-SA"/>
        </w:rPr>
        <w:t>الواجهة تعمل بالعربية والإنجليزية مع RTL/LTR الصحيح، IBM Plex Sans Arabic، Responsive، وحالات الخطأ والتحميل.</w:t>
      </w:r>
    </w:p>
    <w:p>
      <w:pPr>
        <w:pStyle w:val="ListNumber"/>
        <w:jc w:val="right"/>
        <w:bidi w:val="1"/>
      </w:pPr>
      <w:r>
        <w:rPr>
          <w:rFonts w:ascii="Arial" w:hAnsi="Arial" w:eastAsia="Arial" w:cs="Arial"/>
          <w:rtl w:val="1"/>
          <w:lang w:bidi="ar-SA" w:val="ar-SA"/>
        </w:rPr>
        <w:t>الاختبارات المناسبة ناجحة.</w:t>
      </w:r>
    </w:p>
    <w:p>
      <w:pPr>
        <w:pStyle w:val="ListNumber"/>
        <w:jc w:val="right"/>
        <w:bidi w:val="1"/>
      </w:pPr>
      <w:r>
        <w:rPr>
          <w:rFonts w:ascii="Arial" w:hAnsi="Arial" w:eastAsia="Arial" w:cs="Arial"/>
          <w:rtl w:val="1"/>
          <w:lang w:bidi="ar-SA" w:val="ar-SA"/>
        </w:rPr>
        <w:t>لا توجد أسرار في الكود ولا أخطاء أمنية معروفة نتجت عن التعديل.</w:t>
      </w:r>
    </w:p>
    <w:p>
      <w:pPr>
        <w:pStyle w:val="ListNumber"/>
        <w:jc w:val="right"/>
        <w:bidi w:val="1"/>
      </w:pPr>
      <w:r>
        <w:rPr>
          <w:rFonts w:ascii="Arial" w:hAnsi="Arial" w:eastAsia="Arial" w:cs="Arial"/>
          <w:rtl w:val="1"/>
          <w:lang w:bidi="ar-SA" w:val="ar-SA"/>
        </w:rPr>
        <w:t>الوثائق/API contracts تحدثت إذا تغير السلوك أو العقد.</w:t>
      </w:r>
    </w:p>
    <w:p>
      <w:pPr>
        <w:pStyle w:val="ListNumber"/>
        <w:jc w:val="right"/>
        <w:bidi w:val="1"/>
      </w:pPr>
      <w:r>
        <w:rPr>
          <w:rFonts w:ascii="Arial" w:hAnsi="Arial" w:eastAsia="Arial" w:cs="Arial"/>
          <w:rtl w:val="1"/>
          <w:lang w:bidi="ar-SA" w:val="ar-SA"/>
        </w:rPr>
        <w:t>تقرير التغيير واضح ويحدد الملفات والمسارات وأوامر التشغيل/الترحيل.</w:t>
      </w:r>
    </w:p>
    <w:p>
      <w:pPr>
        <w:pStyle w:val="Heading1"/>
        <w:jc w:val="right"/>
        <w:bidi w:val="1"/>
      </w:pPr>
      <w:r>
        <w:rPr>
          <w:rFonts w:ascii="Arial" w:hAnsi="Arial" w:eastAsia="Arial" w:cs="Arial"/>
          <w:b/>
          <w:sz w:val="34"/>
          <w:rtl w:val="1"/>
          <w:lang w:bidi="ar-SA" w:val="ar-SA"/>
        </w:rPr>
        <w:t>23. بروتوكول الأوامر التي تعطى لـ Claude Code</w:t>
      </w:r>
    </w:p>
    <w:p>
      <w:pPr>
        <w:spacing w:after="100"/>
        <w:jc w:val="right"/>
        <w:bidi w:val="1"/>
      </w:pPr>
      <w:r>
        <w:rPr>
          <w:rFonts w:ascii="Arial" w:hAnsi="Arial" w:eastAsia="Arial" w:cs="Arial"/>
          <w:rtl w:val="1"/>
          <w:lang w:bidi="ar-SA" w:val="ar-SA"/>
        </w:rPr>
        <w:t>يجب أن يبدأ كل أمر تطوير مهم بإشارة واضحة إلى هذه الوثيقة، ويمكن استخدام الصيغة التالية كأساس ثابت:</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نص تأسيسي مقترح لكل مهمة</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التزم حرفيًا بـ BRD-SAHEL-001 وSRS-SAHEL-001 وبالمرحلة الحالية فقط. المشروع Greenfield لكن كل مرحلة سابقة معتمدة خط أساس محمي. لا تغير الـ Stack أو Modular Monolith أو PostgreSQL RLS. العربية افتراضية والإنجليزية إلزامية، وIBM Plex Sans Arabic هو الخط القياسي، والواجهة Responsive. استخدم Git workflow: feature/* → develop → main، واعمل على Windows/PowerShell محليًا مع بقاء Runtime Cross-platform. اقرأ ما تم إنشاؤه قبل أي تعديل لاحق، واستخدم Migration من أول Schema معتمد. بعد التنفيذ شغّل الاختبارات المناسبة، Commit واضح وPush عند قبول المرحلة، واذكر حالة كل ملف ومساره وسبب التغيير. إذا ظهر تعارض أو غموض يؤثر على البيانات أو البنية فتوقف واطلب قرارًا.</w:t>
            </w:r>
          </w:p>
        </w:tc>
      </w:tr>
    </w:tbl>
    <w:p>
      <w:pPr>
        <w:pStyle w:val="Heading1"/>
        <w:jc w:val="right"/>
        <w:bidi w:val="1"/>
      </w:pPr>
      <w:r>
        <w:rPr>
          <w:rFonts w:ascii="Arial" w:hAnsi="Arial" w:eastAsia="Arial" w:cs="Arial"/>
          <w:b/>
          <w:sz w:val="34"/>
          <w:rtl w:val="1"/>
          <w:lang w:bidi="ar-SA" w:val="ar-SA"/>
        </w:rPr>
        <w:t>24. إدارة التغيير وقرارات المعمارية</w:t>
      </w:r>
    </w:p>
    <w:p>
      <w:pPr>
        <w:spacing w:after="100"/>
        <w:jc w:val="right"/>
        <w:bidi w:val="1"/>
      </w:pPr>
      <w:r>
        <w:rPr>
          <w:rFonts w:ascii="Arial" w:hAnsi="Arial" w:eastAsia="Arial" w:cs="Arial"/>
          <w:rtl w:val="1"/>
          <w:lang w:bidi="ar-SA" w:val="ar-SA"/>
        </w:rPr>
        <w:t>أي تغيير في Stack أو عزل المستأجرين أو شكل البيانات الجوهري أو الحدود بين الموديولات أو آلية النشر يجب أن يسجل كقرار معماري ADR أو Change Request. لا يعتبر نقاشًا سابقًا أو اقتراحًا من الوكيل موافقة.</w:t>
      </w:r>
    </w:p>
    <w:p>
      <w:pPr>
        <w:pStyle w:val="Heading1"/>
        <w:jc w:val="right"/>
        <w:bidi w:val="1"/>
      </w:pPr>
      <w:r>
        <w:rPr>
          <w:rFonts w:ascii="Arial" w:hAnsi="Arial" w:eastAsia="Arial" w:cs="Arial"/>
          <w:b/>
          <w:sz w:val="34"/>
          <w:rtl w:val="1"/>
          <w:lang w:bidi="ar-SA" w:val="ar-SA"/>
        </w:rPr>
        <w:t>25. المصفوفة المرجعية BR → FR</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مجال الأعمال</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متطلبات النظام المقابلة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إدارة الجهات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FR-MT + FR-IA</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الحوكمة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FR-GV + FR-IA + Audit</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المستفيدون</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FR-BN + Privacy</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المشتريات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FR-PU + Workflow + Finance</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المخزون</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FR-IN + Finance + Beneficiaries/Projects</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الموارد البشرية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FR-HR + Workflow + Documents + Finance</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العهد والأصول</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FR-AS + Purchasing + HR + Finance</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المالية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FR-FI + Reports + Integrations</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المشاريع</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FR-PJ + Finance + Beneficiaries + Inventory</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الاجتماعات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FR-MG + Governance + Workflow</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التقارير</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FR-RP + Async + Authorization</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الإشعارات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FR-NT + Redis/Queue + Templates</w:t>
            </w:r>
          </w:p>
        </w:tc>
      </w:tr>
    </w:tbl>
    <w:p>
      <w:pPr>
        <w:pStyle w:val="Heading1"/>
        <w:jc w:val="right"/>
        <w:bidi w:val="1"/>
      </w:pPr>
      <w:r>
        <w:rPr>
          <w:rFonts w:ascii="Arial" w:hAnsi="Arial" w:eastAsia="Arial" w:cs="Arial"/>
          <w:b/>
          <w:sz w:val="34"/>
          <w:rtl w:val="1"/>
          <w:lang w:bidi="ar-SA" w:val="ar-SA"/>
        </w:rPr>
        <w:t>26. الاعتماد النهائي</w:t>
      </w:r>
    </w:p>
    <w:p>
      <w:pPr>
        <w:spacing w:after="100"/>
        <w:jc w:val="right"/>
        <w:bidi w:val="1"/>
      </w:pPr>
      <w:r>
        <w:rPr>
          <w:rFonts w:ascii="Arial" w:hAnsi="Arial" w:eastAsia="Arial" w:cs="Arial"/>
          <w:rtl w:val="1"/>
          <w:lang w:bidi="ar-SA" w:val="ar-SA"/>
        </w:rPr>
        <w:t>عند اعتماد مالك المشروع لهذه الوثيقة تصبح خط الأساس الفني (Technical Baseline). أي كود يولده Claude Code بعد ذلك يفترض أنه مقبول فقط إذا التزم بهذه الشروط وبالمهمة المحددة، وليس لمجرد أنه يعمل محليًا.</w:t>
      </w:r>
    </w:p>
    <w:p>
      <w:pPr>
        <w:jc w:val="right"/>
        <w:bidi/>
      </w:pPr>
      <w:r>
        <w:rPr>
          <w:b/>
          <w:sz w:val="30"/>
        </w:rPr>
        <w:t>ملحق إلزامي: عقد واجهات المستخدم ومحركات العرض والتقارير والمكونات المشتركة</w:t>
      </w:r>
    </w:p>
    <w:p>
      <w:pPr>
        <w:jc w:val="right"/>
        <w:bidi/>
      </w:pPr>
      <w:r>
        <w:t>يُعد هذا الملحق جزءًا ملزمًا من خط الأساس التعاقدي للوثيقة. أي تنفيذ يخالف البنود التالية يُعد غير مقبول حتى لو كان يعمل وظيفيًا، ولا يجوز لـ Claude Code تجاوزها أو استبدالها باجتهاد تقني.</w:t>
      </w:r>
    </w:p>
    <w:p>
      <w:pPr>
        <w:pStyle w:val="ListBullet"/>
        <w:jc w:val="right"/>
        <w:bidi/>
      </w:pPr>
      <w:r>
        <w:t>يُحظر استخدام Tailwind CSS أو Bootstrap أو أي إطار CSS Utility/Component بديل يؤدي الوظيفة نفسها دون موافقة كتابية صريحة. يعتمد المشروع على CSS منظم ومكونات واجهة قابلة لإعادة الاستخدام ضمن نظام تصميم موحد.</w:t>
      </w:r>
    </w:p>
    <w:p>
      <w:pPr>
        <w:pStyle w:val="ListBullet"/>
        <w:jc w:val="right"/>
        <w:bidi/>
      </w:pPr>
      <w:r>
        <w:t>يُحظر استخدام Node.js كخلفية تشغيلية أو كبديل لـ FastAPI. يُسمح بوجود Node.js محليًا فقط بقدر ما تتطلبه أدوات بناء React + Vite وإدارة حزم الواجهة الأمامية؛ ولا يجوز إنشاء API أو خدمات أعمال أو Jobs خلفية به.</w:t>
      </w:r>
    </w:p>
    <w:p>
      <w:pPr>
        <w:pStyle w:val="ListBullet"/>
        <w:jc w:val="right"/>
        <w:bidi/>
      </w:pPr>
      <w:r>
        <w:t>يجب تجنب النصوص التوضيحية الطويلة والمبالغ فيها داخل الواجهات. تستخدم التسميات والمساعدة السياقية والرسائل القصيرة عند الحاجة فقط، مع إبقاء الواجهة عملية وغير مزدحمة.</w:t>
      </w:r>
    </w:p>
    <w:p>
      <w:pPr>
        <w:pStyle w:val="ListBullet"/>
        <w:jc w:val="right"/>
        <w:bidi/>
      </w:pPr>
      <w:r>
        <w:t>يُصمم النظام لمستخدم قد لا يمتلك إلا الحد الأدنى من الكفاءة التقنية؛ لذلك يجب أن تكون الإجراءات واضحة، وتسلسل الخطوات مفهومًا، والأخطاء قابلة للفهم، مع تقليل عدد النقرات والحاجة إلى الحفظ اليدوي أو المعرفة التقنية.</w:t>
      </w:r>
    </w:p>
    <w:p>
      <w:pPr>
        <w:pStyle w:val="ListBullet"/>
        <w:jc w:val="right"/>
        <w:bidi/>
      </w:pPr>
      <w:r>
        <w:t>يجب أن تكون الحركة بين القوائم والسجلات والشاشات والاستعراض والرجوع والبحث متسقة وسهلة، مع المحافظة على السياق قدر الإمكان.</w:t>
      </w:r>
    </w:p>
    <w:p>
      <w:pPr>
        <w:pStyle w:val="ListBullet"/>
        <w:jc w:val="right"/>
        <w:bidi/>
      </w:pPr>
      <w:r>
        <w:t>كل شاشة قائمة أو جدول بيانات يجب أن تستفيد من محرك جداول/استعلام مشترك قابل لإعادة الاستخدام، وليس منطقًا مكررًا داخل كل موديول.</w:t>
      </w:r>
    </w:p>
    <w:p>
      <w:pPr>
        <w:pStyle w:val="ListBullet"/>
        <w:jc w:val="right"/>
        <w:bidi/>
      </w:pPr>
      <w:r>
        <w:t>محرك الجداول المشترك يجب أن يدعم: البحث، الفرز، التصفية، الترقيم Pagination، اختيار سجل واحد أو عدة سجلات، اختيار الكل ضمن النطاق المسموح، تنفيذ الإجراءات الجماعية المصرح بها، وتوضيح عدد السجلات المحددة.</w:t>
      </w:r>
    </w:p>
    <w:p>
      <w:pPr>
        <w:pStyle w:val="ListBullet"/>
        <w:jc w:val="right"/>
        <w:bidi/>
      </w:pPr>
      <w:r>
        <w:t>يجب دعم تخصيص الأعمدة المعروضة: إظهار/إخفاء الأعمدة، إعادة الترتيب عندما يكون ذلك مناسبًا، وحفظ تفضيلات المستخدم لكل شاشة/جدول واستعادتها تلقائيًا.</w:t>
      </w:r>
    </w:p>
    <w:p>
      <w:pPr>
        <w:pStyle w:val="ListBullet"/>
        <w:jc w:val="right"/>
        <w:bidi/>
      </w:pPr>
      <w:r>
        <w:t>يجب أن تحتوي شاشات العرض والجداول على محرك تقارير/تصدير مشترك يدعم الطباعة أو العرض الملائم للمتصفح، وتصدير PDF، وتصدير Excel متوافق وقابل للاستخدام، مع إمكانية تصدير الكل أو السجلات المحددة وفق الصلاحيات والفلاتر الحالية.</w:t>
      </w:r>
    </w:p>
    <w:p>
      <w:pPr>
        <w:pStyle w:val="ListBullet"/>
        <w:jc w:val="right"/>
        <w:bidi/>
      </w:pPr>
      <w:r>
        <w:t>يجب أن يحترم التصدير اللغة الحالية واتجاهها وحقول الشاشة والصلاحيات، وألا يكشف حقولًا مخفية بسبب الصلاحيات. وتنفذ التقارير الكبيرة بصورة غير متزامنة عند الحاجة.</w:t>
      </w:r>
    </w:p>
    <w:p>
      <w:pPr>
        <w:pStyle w:val="ListBullet"/>
        <w:jc w:val="right"/>
        <w:bidi/>
      </w:pPr>
      <w:r>
        <w:t>توحّد الأزرار وحالاتها وأحجامها وترتيبها، وحقول البحث والفلاتر، والجداول، والنوافذ، ورسائل التحقق، وأنماط CRUD والموافقات عبر جميع الموديولات.</w:t>
      </w:r>
    </w:p>
    <w:p>
      <w:pPr>
        <w:pStyle w:val="ListBullet"/>
        <w:jc w:val="right"/>
        <w:bidi/>
      </w:pPr>
      <w:r>
        <w:t>يمنع التضخيم البصري غير المبرر: Padding مرتفع، مساحات فارغة كبيرة، بطاقات ضخمة، حواف شديدة الاستدارة أو عناصر زخرفية تقلل كثافة المعلومات وسهولة العمل.</w:t>
      </w:r>
    </w:p>
    <w:p>
      <w:pPr>
        <w:pStyle w:val="ListBullet"/>
        <w:jc w:val="right"/>
        <w:bidi/>
      </w:pPr>
      <w:r>
        <w:t>يتعامل Claude Code مع كل واجهة بعقلية خبير UI/UX: وضوح التسلسل البصري، الاتساق، الوصول السريع للوظائف، حالات Loading/Empty/Error، قابلية الوصول، الاستجابة، ولوحة المفاتيح حيث يلزم.</w:t>
      </w:r>
    </w:p>
    <w:p>
      <w:pPr>
        <w:pStyle w:val="ListBullet"/>
        <w:jc w:val="right"/>
        <w:bidi/>
      </w:pPr>
      <w:r>
        <w:t>الهوية البصرية مستلهمة من الطابع المؤسسي/الحكومي السعودي: هادئة، رسمية، واضحة وحديثة، دون نسخ هوية جهة حكومية بعينها أو الإيحاء بأن المنصة جهة حكومية.</w:t>
      </w:r>
    </w:p>
    <w:p>
      <w:pPr>
        <w:pStyle w:val="ListBullet"/>
        <w:jc w:val="right"/>
        <w:bidi/>
      </w:pPr>
      <w:r>
        <w:t>تستخدم أيقونات ملونة ومعبرة عن الوظيفة ومتناغمة مع لوحة الألوان ونظام التصميم، مع توحيد أسلوبها البصري وعدم استخدام أيقونات عشوائية أو متنافرة.</w:t>
      </w:r>
    </w:p>
    <w:p>
      <w:pPr>
        <w:pStyle w:val="ListBullet"/>
        <w:jc w:val="right"/>
        <w:bidi/>
      </w:pPr>
      <w:r>
        <w:t>أي كود أو سلوك يتكرر عبر الواجهات يجب استخراجه إلى مكوّن أو Hook أو Service أو Utility أو Engine مشترك مناسب، بحيث تستدعيه الشاشات بدل نسخ الكود. يشمل ذلك الجداول، البحث، الفلاتر، التصدير، التفضيلات، النوافذ، الإشعارات، حالات التحميل، التحقق، الصلاحيات، والموافقات حيث ينطبق.</w:t>
      </w:r>
    </w:p>
    <w:p>
      <w:pPr>
        <w:pStyle w:val="ListBullet"/>
        <w:jc w:val="right"/>
        <w:bidi/>
      </w:pPr>
      <w:r>
        <w:t>لا يجوز الإفراط في التجريد مبكرًا: ينشأ المحرك المشترك عندما يكون السلوك عامًا وقابلاً لإعادة الاستخدام، مع API واضح واختبارات، دون تحويل المشروع إلى طبقات معقدة أو Microservices.</w:t>
      </w:r>
    </w:p>
    <w:p>
      <w:pPr>
        <w:jc w:val="right"/>
        <w:bidi/>
      </w:pPr>
      <w:r>
        <w:rPr>
          <w:b/>
          <w:sz w:val="30"/>
        </w:rPr>
        <w:t>ملحق إلزامي: محرك شريط التنبيهات والحالة الموحد</w:t>
      </w:r>
    </w:p>
    <w:p>
      <w:pPr>
        <w:jc w:val="right"/>
        <w:bidi/>
      </w:pPr>
      <w:r>
        <w:rPr>
          <w:b w:val="0"/>
        </w:rPr>
        <w:t>يُعد هذا البند جزءًا ملزمًا من نظام التصميم والخدمات المشتركة، ويجب تنفيذه كمحرك مركزي واحد يُستدعى من جميع الشاشات والموديولات. يمنع إنشاء أشرطة تنبيه أو رسائل حالة منفصلة ومختلفة في كل شاشة إذا كان الغرض يمكن خدمته بواسطة المحرك الموحد.</w:t>
      </w:r>
    </w:p>
    <w:p>
      <w:pPr>
        <w:pStyle w:val="ListBullet"/>
        <w:jc w:val="right"/>
        <w:bidi/>
      </w:pPr>
      <w:r>
        <w:t>يجب تخصيص مساحة ثابتة ومحجوزة مسبقًا داخل تخطيط الصفحة لشريط التنبيهات والحالة، بحيث لا يؤدي ظهوره أو اختفاؤه إلى تمدد الصفحة أو انكماشها أو تحريك المحتوى بصورة مفاجئة أو تغيير مواضع الحقول والأزرار.</w:t>
      </w:r>
    </w:p>
    <w:p>
      <w:pPr>
        <w:pStyle w:val="ListBullet"/>
        <w:jc w:val="right"/>
        <w:bidi/>
      </w:pPr>
      <w:r>
        <w:t>يظهر الشريط في موضع ثابت ومتسق ومناسب بصريًا داخل هيكل الصفحة، ويكون مرئيًا للمستخدم دون أن يحجب المحتوى أو يقطع مسار العمل.</w:t>
      </w:r>
    </w:p>
    <w:p>
      <w:pPr>
        <w:pStyle w:val="ListBullet"/>
        <w:jc w:val="right"/>
        <w:bidi/>
      </w:pPr>
      <w:r>
        <w:t>يستخدم الشريط لإبلاغ المستخدم بحالات النظام والعمليات مثل: النجاح، الحفظ، التعديل، الإنشاء، الإلغاء، الحذف، التراجع، التحذير، المنع، القيود، فشل العملية، الحاجة إلى إجراء، أو وجود نتيجة مرتبطة بعملية تمت.</w:t>
      </w:r>
    </w:p>
    <w:p>
      <w:pPr>
        <w:pStyle w:val="ListBullet"/>
        <w:jc w:val="right"/>
        <w:bidi/>
      </w:pPr>
      <w:r>
        <w:t>يجب استخدام ألوان هادئة وواضحة ومميزة حسب نوع الرسالة، مع الحفاظ على الهوية البصرية الرسمية للمنصة وعدم استخدام ألوان صارخة أو تأثيرات مبالغ فيها.</w:t>
      </w:r>
    </w:p>
    <w:p>
      <w:pPr>
        <w:pStyle w:val="ListBullet"/>
        <w:jc w:val="right"/>
        <w:bidi/>
      </w:pPr>
      <w:r>
        <w:t>يجب أن تكون صياغة الرسائل قصيرة ومباشرة ومفهومة للمستخدم منخفض الخبرة التقنية، مع عدم عرض تفاصيل تقنية أو أكواد أخطاء غير مفهومة ما لم تكن موجهة لمسؤول تقني في سياق مخصص.</w:t>
      </w:r>
    </w:p>
    <w:p>
      <w:pPr>
        <w:pStyle w:val="ListBullet"/>
        <w:jc w:val="right"/>
        <w:bidi/>
      </w:pPr>
      <w:r>
        <w:t>يجوز أن يحتوي الشريط على رابط أو أكثر لسجل أو حدث أو مستند أو قيد أو عملية مرتبطة بالرسالة. ويجب أن يكون الرابط واضحًا بصريًا، مع إبراز رقم السجل أو القيد بخط أثقل وبلون متناسق.</w:t>
      </w:r>
    </w:p>
    <w:p>
      <w:pPr>
        <w:pStyle w:val="ListBullet"/>
        <w:jc w:val="right"/>
        <w:bidi/>
      </w:pPr>
      <w:r>
        <w:t>مثال إلزامي للسلوك: عند إنشاء قيد مالي من عملية في شاشة أخرى، يعرض الشريط رسالة مثل «تم إنشاء القيد رقم JE-000123»، ويظهر رقم القيد بشكل مميز وقابل للنقر.</w:t>
      </w:r>
    </w:p>
    <w:p>
      <w:pPr>
        <w:pStyle w:val="ListBullet"/>
        <w:jc w:val="right"/>
        <w:bidi/>
      </w:pPr>
      <w:r>
        <w:t>عند الضغط على رابط داخل شريط التنبيه، يجب فتح السجل أو الحدث المرتبط في تبويب متصفح جديد أو تبويب داخلي مستقل حسب نمط التنقل المعتمد، مع إبقاء الشاشة الحالية مفتوحة وعدم فقد حالة المستخدم أو الفلاتر أو البيانات غير المحفوظة فيها.</w:t>
      </w:r>
    </w:p>
    <w:p>
      <w:pPr>
        <w:pStyle w:val="ListBullet"/>
        <w:jc w:val="right"/>
        <w:bidi/>
      </w:pPr>
      <w:r>
        <w:t>يجب أن يدعم المحرك حالات قابلة للإغلاق وحالات لا يجوز إغلاقها يدويًا، وفق أهمية الرسالة. كما يجب أن يدعم مدة ظهور تلقائية للرسائل البسيطة، بينما تبقى رسائل المنع أو التحذير الحرج أو الحاجة إلى إجراء حتى يتعامل معها المستخدم.</w:t>
      </w:r>
    </w:p>
    <w:p>
      <w:pPr>
        <w:pStyle w:val="ListBullet"/>
        <w:jc w:val="right"/>
        <w:bidi/>
      </w:pPr>
      <w:r>
        <w:t>إذا كانت العملية قابلة للتراجع، يجب أن يدعم الشريط إجراء «تراجع» ضمن فترة زمنية أو شرط منطقي محدد، ولا يُعرض خيار التراجع إلا إذا كان التنفيذ الخلفي يدعم الاسترجاع بأمان.</w:t>
      </w:r>
    </w:p>
    <w:p>
      <w:pPr>
        <w:pStyle w:val="ListBullet"/>
        <w:jc w:val="right"/>
        <w:bidi/>
      </w:pPr>
      <w:r>
        <w:t>يجب ألا يستخدم الشريط كبديل لرسائل التحقق المرتبطة مباشرة بالحقل؛ أخطاء الحقول تبقى قرب الحقل، بينما يستخدم الشريط للحالة العامة للعملية أو الصفحة.</w:t>
      </w:r>
    </w:p>
    <w:p>
      <w:pPr>
        <w:pStyle w:val="ListBullet"/>
        <w:jc w:val="right"/>
        <w:bidi/>
      </w:pPr>
      <w:r>
        <w:t>يجب أن يدعم المحرك العربية والإنجليزية وRTL/LTR من خلال نظام الترجمة المركزي، وألا تُكتب الرسائل ثابتة داخل المكونات.</w:t>
      </w:r>
    </w:p>
    <w:p>
      <w:pPr>
        <w:pStyle w:val="ListBullet"/>
        <w:jc w:val="right"/>
        <w:bidi/>
      </w:pPr>
      <w:r>
        <w:t>يجب أن يحترم الشريط صلاحيات المستخدم؛ فلا يجوز أن يعرض رابطًا أو تفاصيل لسجل لا يملك المستخدم صلاحية الوصول إليه.</w:t>
      </w:r>
    </w:p>
    <w:p>
      <w:pPr>
        <w:pStyle w:val="ListBullet"/>
        <w:jc w:val="right"/>
        <w:bidi/>
      </w:pPr>
      <w:r>
        <w:t>يجب أن تكون بنية المحرك قابلة للاستدعاء من أي موديول عبر API موحد مثل: النوع، العنوان/النص، الرابط الاختياري، معرف السجل، مدة الظهور، قابلية الإغلاق، إجراء التراجع، ومستوى الأهمية، مع منع تكرار منطق العرض داخل الشاشات.</w:t>
      </w:r>
    </w:p>
    <w:p>
      <w:pPr>
        <w:pStyle w:val="ListBullet"/>
        <w:jc w:val="right"/>
        <w:bidi/>
      </w:pPr>
      <w:r>
        <w:t>يجب اختبار المحرك على سطح المكتب واللابتوب والتابلت والجوال، والتأكد من ثبات موضعه وعدم حدوث Layout Shift أو تداخل مع Header أو Breadcrumb أو الجداول أو النوافذ.</w:t>
      </w:r>
    </w:p>
    <w:sectPr w:rsidR="00FC693F" w:rsidRPr="0006063C" w:rsidSect="00034616">
      <w:headerReference w:type="default" r:id="rId9"/>
      <w:footerReference w:type="default" r:id="rId10"/>
      <w:pgSz w:w="12240" w:h="15840"/>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eastAsia="Arial" w:cs="Arial"/>
        <w:sz w:val="16"/>
        <w:rtl w:val="1"/>
        <w:lang w:bidi="ar-SA" w:val="ar-SA"/>
      </w:rPr>
      <w:t>منصة سهل المطور - شركة رؤى الحلول لتقنية المعلومات - وثيقة قابلة للتعديل</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eastAsia="Arial" w:cs="Arial"/>
        <w:b/>
        <w:sz w:val="18"/>
        <w:rtl w:val="1"/>
        <w:lang w:bidi="ar-SA" w:val="ar-SA"/>
      </w:rPr>
      <w:t>SRS-SAHEL-001 — مواصفات النظام والعقد التقني الملزم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4"/>
      <w:szCs w:val="28"/>
      <w:color w:val="16365C"/>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8"/>
      <w:szCs w:val="26"/>
      <w:color w:val="1F4E7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4"/>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48"/>
      <w:szCs w:val="52"/>
      <w:color w:val="16365C"/>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