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Calibri" w:cs="Calibri" w:eastAsia="Calibri" w:hAnsi="Calibri"/>
          <w:b/>
          <w:bCs/>
          <w:color w:val="1F3A5F"/>
          <w:sz w:val="44"/>
          <w:szCs w:val="44"/>
        </w:rPr>
        <w:t xml:space="preserve">NEXUS Portal FCE</w:t>
      </w:r>
    </w:p>
    <w:p>
      <w:pPr>
        <w:spacing w:after="400"/>
        <w:jc w:val="center"/>
      </w:pPr>
      <w:r>
        <w:rPr>
          <w:rFonts w:ascii="Calibri" w:cs="Calibri" w:eastAsia="Calibri" w:hAnsi="Calibri"/>
          <w:color w:val="5B6470"/>
          <w:sz w:val="32"/>
          <w:szCs w:val="32"/>
        </w:rPr>
        <w:t xml:space="preserve">Informe de estado técnico</w:t>
      </w:r>
    </w:p>
    <w:p>
      <w:pPr>
        <w:spacing w:after="80"/>
        <w:jc w:val="center"/>
      </w:pPr>
      <w:r>
        <w:rPr>
          <w:rFonts w:ascii="Calibri" w:cs="Calibri" w:eastAsia="Calibri" w:hAnsi="Calibri"/>
          <w:i/>
          <w:iCs/>
          <w:sz w:val="22"/>
          <w:szCs w:val="22"/>
        </w:rPr>
        <w:t xml:space="preserve">Plataforma de aprendizaje adaptativo · Cátedra de Economía I · UNPSJB FCE</w:t>
      </w:r>
    </w:p>
    <w:p>
      <w:pPr>
        <w:spacing w:after="600"/>
        <w:jc w:val="center"/>
      </w:pPr>
      <w:r>
        <w:rPr>
          <w:rFonts w:ascii="Calibri" w:cs="Calibri" w:eastAsia="Calibri" w:hAnsi="Calibri"/>
          <w:sz w:val="22"/>
          <w:szCs w:val="22"/>
        </w:rPr>
        <w:t xml:space="preserve">Versión v19.30.7 · 19 de abril de 2026</w:t>
      </w:r>
    </w:p>
    <w:p>
      <w:pPr>
        <w:pBdr>
          <w:top w:val="single" w:color="1F3A5F" w:sz="8" w:space="6"/>
        </w:pBdr>
        <w:spacing w:after="200" w:before="200"/>
      </w:pPr>
      <w:r>
        <w:t xml:space="preserve"/>
      </w:r>
    </w:p>
    <w:p>
      <w:pPr>
        <w:spacing w:after="120" w:line="300"/>
      </w:pPr>
      <w:r>
        <w:rPr>
          <w:rFonts w:ascii="Calibri" w:cs="Calibri" w:eastAsia="Calibri" w:hAnsi="Calibri"/>
          <w:b/>
          <w:bCs/>
          <w:sz w:val="22"/>
          <w:szCs w:val="22"/>
        </w:rPr>
        <w:t xml:space="preserve">Responsable técnico: </w:t>
      </w:r>
      <w:r>
        <w:rPr>
          <w:rFonts w:ascii="Calibri" w:cs="Calibri" w:eastAsia="Calibri" w:hAnsi="Calibri"/>
          <w:sz w:val="22"/>
          <w:szCs w:val="22"/>
        </w:rPr>
        <w:t xml:space="preserve">Juan (desarrollo solo)</w:t>
      </w:r>
    </w:p>
    <w:p>
      <w:pPr>
        <w:spacing w:after="120" w:line="300"/>
      </w:pPr>
      <w:r>
        <w:rPr>
          <w:rFonts w:ascii="Calibri" w:cs="Calibri" w:eastAsia="Calibri" w:hAnsi="Calibri"/>
          <w:b/>
          <w:bCs/>
          <w:sz w:val="22"/>
          <w:szCs w:val="22"/>
        </w:rPr>
        <w:t xml:space="preserve">Destinatario: </w:t>
      </w:r>
      <w:r>
        <w:rPr>
          <w:rFonts w:ascii="Calibri" w:cs="Calibri" w:eastAsia="Calibri" w:hAnsi="Calibri"/>
          <w:sz w:val="22"/>
          <w:szCs w:val="22"/>
        </w:rPr>
        <w:t xml:space="preserve">auditoría académica</w:t>
      </w:r>
    </w:p>
    <w:p>
      <w:pPr>
        <w:spacing w:after="120" w:line="300"/>
      </w:pPr>
      <w:r>
        <w:rPr>
          <w:rFonts w:ascii="Calibri" w:cs="Calibri" w:eastAsia="Calibri" w:hAnsi="Calibri"/>
          <w:b/>
          <w:bCs/>
          <w:sz w:val="22"/>
          <w:szCs w:val="22"/>
        </w:rPr>
        <w:t xml:space="preserve">Estado del proyecto: </w:t>
      </w:r>
      <w:r>
        <w:rPr>
          <w:rFonts w:ascii="Calibri" w:cs="Calibri" w:eastAsia="Calibri" w:hAnsi="Calibri"/>
          <w:sz w:val="22"/>
          <w:szCs w:val="22"/>
        </w:rPr>
        <w:t xml:space="preserve">portal desplegado en producción. Demo institucional ejecutada el 18 de abril de 2026.</w:t>
      </w:r>
    </w:p>
    <w:p>
      <w:pPr>
        <w:pageBreakBefore/>
      </w:pPr>
    </w:p>
    <w:p>
      <w:pPr>
        <w:pStyle w:val="Heading1"/>
        <w:spacing w:after="180" w:before="360"/>
      </w:pPr>
      <w:r>
        <w:rPr>
          <w:rFonts w:ascii="Calibri" w:cs="Calibri" w:eastAsia="Calibri" w:hAnsi="Calibri"/>
          <w:b/>
          <w:bCs/>
          <w:color w:val="1F3A5F"/>
          <w:sz w:val="32"/>
          <w:szCs w:val="32"/>
        </w:rPr>
        <w:t xml:space="preserve">1. Resumen ejecutivo</w:t>
      </w:r>
    </w:p>
    <w:p>
      <w:pPr>
        <w:spacing w:after="120" w:line="300"/>
      </w:pPr>
      <w:r>
        <w:rPr>
          <w:rFonts w:ascii="Calibri" w:cs="Calibri" w:eastAsia="Calibri" w:hAnsi="Calibri"/>
          <w:sz w:val="22"/>
          <w:szCs w:val="22"/>
        </w:rPr>
        <w:t xml:space="preserve">El portal NEXUS es una PWA desplegada sobre Vercel que sirve material didáctico indexado, consultas en lenguaje natural con matcher híbrido (KB local + LLM vía proxy), y un motor adaptativo de práctica. La presentación institucional del 18 de abril de 2026 utilizó un preview standalone con design system premium distinto al portal productivo.</w:t>
      </w:r>
    </w:p>
    <w:p>
      <w:pPr>
        <w:spacing w:after="120" w:line="300"/>
      </w:pPr>
      <w:r>
        <w:rPr>
          <w:rFonts w:ascii="Calibri" w:cs="Calibri" w:eastAsia="Calibri" w:hAnsi="Calibri"/>
          <w:sz w:val="22"/>
          <w:szCs w:val="22"/>
        </w:rPr>
        <w:t xml:space="preserve">Este informe documenta:</w:t>
      </w:r>
    </w:p>
    <w:p>
      <w:pPr>
        <w:pStyle w:val="ListParagraph"/>
        <w:numPr>
          <w:ilvl w:val="0"/>
          <w:numId w:val="2"/>
        </w:numPr>
        <w:spacing w:after="80" w:line="280"/>
      </w:pPr>
      <w:r>
        <w:rPr>
          <w:rFonts w:ascii="Calibri" w:cs="Calibri" w:eastAsia="Calibri" w:hAnsi="Calibri"/>
          <w:sz w:val="22"/>
          <w:szCs w:val="22"/>
        </w:rPr>
        <w:t xml:space="preserve">Lo que está hecho y verificado (Fases 1, 2 y 2.5 del roadmap).</w:t>
      </w:r>
    </w:p>
    <w:p>
      <w:pPr>
        <w:pStyle w:val="ListParagraph"/>
        <w:numPr>
          <w:ilvl w:val="0"/>
          <w:numId w:val="2"/>
        </w:numPr>
        <w:spacing w:after="80" w:line="280"/>
      </w:pPr>
      <w:r>
        <w:rPr>
          <w:rFonts w:ascii="Calibri" w:cs="Calibri" w:eastAsia="Calibri" w:hAnsi="Calibri"/>
          <w:sz w:val="22"/>
          <w:szCs w:val="22"/>
        </w:rPr>
        <w:t xml:space="preserve">Lo que queda por hacer (Fases 3 y 4).</w:t>
      </w:r>
    </w:p>
    <w:p>
      <w:pPr>
        <w:pStyle w:val="ListParagraph"/>
        <w:numPr>
          <w:ilvl w:val="0"/>
          <w:numId w:val="2"/>
        </w:numPr>
        <w:spacing w:after="80" w:line="280"/>
      </w:pPr>
      <w:r>
        <w:rPr>
          <w:rFonts w:ascii="Calibri" w:cs="Calibri" w:eastAsia="Calibri" w:hAnsi="Calibri"/>
          <w:sz w:val="22"/>
          <w:szCs w:val="22"/>
        </w:rPr>
        <w:t xml:space="preserve">Cómo se integrará la UI de la presentación al portal productivo de forma segura (Fase 4, nueva).</w:t>
      </w:r>
    </w:p>
    <w:p>
      <w:pPr>
        <w:pStyle w:val="ListParagraph"/>
        <w:numPr>
          <w:ilvl w:val="0"/>
          <w:numId w:val="2"/>
        </w:numPr>
        <w:spacing w:after="80" w:line="280"/>
      </w:pPr>
      <w:r>
        <w:rPr>
          <w:rFonts w:ascii="Calibri" w:cs="Calibri" w:eastAsia="Calibri" w:hAnsi="Calibri"/>
          <w:sz w:val="22"/>
          <w:szCs w:val="22"/>
        </w:rPr>
        <w:t xml:space="preserve">Cambios técnicos adicionales detectados durante el hardening y la estrategia propuesta para cada uno.</w:t>
      </w:r>
    </w:p>
    <w:p>
      <w:pPr>
        <w:pStyle w:val="Heading3"/>
        <w:spacing w:after="120" w:before="220"/>
      </w:pPr>
      <w:r>
        <w:rPr>
          <w:rFonts w:ascii="Calibri" w:cs="Calibri" w:eastAsia="Calibri" w:hAnsi="Calibri"/>
          <w:b/>
          <w:bCs/>
          <w:sz w:val="23"/>
          <w:szCs w:val="23"/>
        </w:rPr>
        <w:t xml:space="preserve">Estado sintético</w:t>
      </w:r>
    </w:p>
    <w:p>
      <w:pPr>
        <w:pStyle w:val="ListParagraph"/>
        <w:numPr>
          <w:ilvl w:val="0"/>
          <w:numId w:val="2"/>
        </w:numPr>
        <w:spacing w:after="80" w:line="280"/>
      </w:pPr>
      <w:r>
        <w:rPr>
          <w:rFonts w:ascii="Calibri" w:cs="Calibri" w:eastAsia="Calibri" w:hAnsi="Calibri"/>
          <w:sz w:val="22"/>
          <w:szCs w:val="22"/>
        </w:rPr>
        <w:t xml:space="preserve">Portal productivo deployado — 138 entries en la base de conocimiento.</w:t>
      </w:r>
    </w:p>
    <w:p>
      <w:pPr>
        <w:pStyle w:val="ListParagraph"/>
        <w:numPr>
          <w:ilvl w:val="0"/>
          <w:numId w:val="2"/>
        </w:numPr>
        <w:spacing w:after="80" w:line="280"/>
      </w:pPr>
      <w:r>
        <w:rPr>
          <w:rFonts w:ascii="Calibri" w:cs="Calibri" w:eastAsia="Calibri" w:hAnsi="Calibri"/>
          <w:sz w:val="22"/>
          <w:szCs w:val="22"/>
        </w:rPr>
        <w:t xml:space="preserve">Simulacro de 10 queries críticas: 10/10 verde (latencias 6–46 ms).</w:t>
      </w:r>
    </w:p>
    <w:p>
      <w:pPr>
        <w:pStyle w:val="ListParagraph"/>
        <w:numPr>
          <w:ilvl w:val="0"/>
          <w:numId w:val="2"/>
        </w:numPr>
        <w:spacing w:after="80" w:line="280"/>
      </w:pPr>
      <w:r>
        <w:rPr>
          <w:rFonts w:ascii="Calibri" w:cs="Calibri" w:eastAsia="Calibri" w:hAnsi="Calibri"/>
          <w:sz w:val="22"/>
          <w:szCs w:val="22"/>
        </w:rPr>
        <w:t xml:space="preserve">Tres capas de control de alucinación instaladas (validator básico, audit H1–H7, semantic validator S1–S5).</w:t>
      </w:r>
    </w:p>
    <w:p>
      <w:pPr>
        <w:pStyle w:val="ListParagraph"/>
        <w:numPr>
          <w:ilvl w:val="0"/>
          <w:numId w:val="2"/>
        </w:numPr>
        <w:spacing w:after="80" w:line="280"/>
      </w:pPr>
      <w:r>
        <w:rPr>
          <w:rFonts w:ascii="Calibri" w:cs="Calibri" w:eastAsia="Calibri" w:hAnsi="Calibri"/>
          <w:sz w:val="22"/>
          <w:szCs w:val="22"/>
        </w:rPr>
        <w:t xml:space="preserve">Cobertura de materias: Contabilidad, Administración, Sociales, Propedéutica.</w:t>
      </w:r>
    </w:p>
    <w:p>
      <w:pPr>
        <w:pStyle w:val="ListParagraph"/>
        <w:numPr>
          <w:ilvl w:val="0"/>
          <w:numId w:val="2"/>
        </w:numPr>
        <w:spacing w:after="80" w:line="280"/>
      </w:pPr>
      <w:r>
        <w:rPr>
          <w:rFonts w:ascii="Calibri" w:cs="Calibri" w:eastAsia="Calibri" w:hAnsi="Calibri"/>
          <w:sz w:val="22"/>
          <w:szCs w:val="22"/>
        </w:rPr>
        <w:t xml:space="preserve">Materiales pendientes de ingesta: Itinerario I de Contabilidad (2 PDFs, 37 páginas) — pipeline OCR validado y listo para ejecutar post-demo.</w:t>
      </w:r>
    </w:p>
    <w:p>
      <w:pPr>
        <w:pStyle w:val="ListParagraph"/>
        <w:numPr>
          <w:ilvl w:val="0"/>
          <w:numId w:val="2"/>
        </w:numPr>
        <w:spacing w:after="80" w:line="280"/>
      </w:pPr>
      <w:r>
        <w:rPr>
          <w:rFonts w:ascii="Calibri" w:cs="Calibri" w:eastAsia="Calibri" w:hAnsi="Calibri"/>
          <w:sz w:val="22"/>
          <w:szCs w:val="22"/>
        </w:rPr>
        <w:t xml:space="preserve">Integración UI presentada: diseño y roadmap detallado en la sección 5.</w:t>
      </w:r>
    </w:p>
    <w:p>
      <w:pPr>
        <w:pStyle w:val="Heading1"/>
        <w:spacing w:after="180" w:before="360"/>
      </w:pPr>
      <w:r>
        <w:rPr>
          <w:rFonts w:ascii="Calibri" w:cs="Calibri" w:eastAsia="Calibri" w:hAnsi="Calibri"/>
          <w:b/>
          <w:bCs/>
          <w:color w:val="1F3A5F"/>
          <w:sz w:val="32"/>
          <w:szCs w:val="32"/>
        </w:rPr>
        <w:t xml:space="preserve">2. Arquitectura resumida</w:t>
      </w:r>
    </w:p>
    <w:p>
      <w:pPr>
        <w:spacing w:after="120" w:line="300"/>
      </w:pPr>
      <w:r>
        <w:rPr>
          <w:rFonts w:ascii="Calibri" w:cs="Calibri" w:eastAsia="Calibri" w:hAnsi="Calibri"/>
          <w:b/>
          <w:bCs/>
          <w:sz w:val="22"/>
          <w:szCs w:val="22"/>
        </w:rPr>
        <w:t xml:space="preserve">Frontend: </w:t>
      </w:r>
      <w:r>
        <w:rPr>
          <w:rFonts w:ascii="Calibri" w:cs="Calibri" w:eastAsia="Calibri" w:hAnsi="Calibri"/>
          <w:sz w:val="22"/>
          <w:szCs w:val="22"/>
        </w:rPr>
        <w:t xml:space="preserve">index.html (PWA monolítica, 5 162 líneas), portal.js, nexus-ai.js (matcher híbrido), nexus-adaptive-engine.js (motor adaptativo), service worker sw.js con caché versionado.</w:t>
      </w:r>
    </w:p>
    <w:p>
      <w:pPr>
        <w:spacing w:after="120" w:line="300"/>
      </w:pPr>
      <w:r>
        <w:rPr>
          <w:rFonts w:ascii="Calibri" w:cs="Calibri" w:eastAsia="Calibri" w:hAnsi="Calibri"/>
          <w:b/>
          <w:bCs/>
          <w:sz w:val="22"/>
          <w:szCs w:val="22"/>
        </w:rPr>
        <w:t xml:space="preserve">Base de conocimiento: </w:t>
      </w:r>
      <w:r>
        <w:rPr>
          <w:rFonts w:ascii="Calibri" w:cs="Calibri" w:eastAsia="Calibri" w:hAnsi="Calibri"/>
          <w:sz w:val="22"/>
          <w:szCs w:val="22"/>
        </w:rPr>
        <w:t xml:space="preserve">kb/knowledge_base.json — 138 entries con schema 1.0, cada una con id, type, patterns[], answer_full, source_refs[], materia, unidad.</w:t>
      </w:r>
    </w:p>
    <w:p>
      <w:pPr>
        <w:pStyle w:val="Heading3"/>
        <w:spacing w:after="120" w:before="220"/>
      </w:pPr>
      <w:r>
        <w:rPr>
          <w:rFonts w:ascii="Calibri" w:cs="Calibri" w:eastAsia="Calibri" w:hAnsi="Calibri"/>
          <w:b/>
          <w:bCs/>
          <w:sz w:val="23"/>
          <w:szCs w:val="23"/>
        </w:rPr>
        <w:t xml:space="preserve">Pipeline de generación (offline)</w:t>
      </w:r>
    </w:p>
    <w:p>
      <w:pPr>
        <w:pStyle w:val="ListParagraph"/>
        <w:numPr>
          <w:ilvl w:val="0"/>
          <w:numId w:val="2"/>
        </w:numPr>
        <w:spacing w:after="80" w:line="280"/>
      </w:pPr>
      <w:r>
        <w:rPr>
          <w:rFonts w:ascii="Calibri" w:cs="Calibri" w:eastAsia="Calibri" w:hAnsi="Calibri"/>
          <w:sz w:val="22"/>
          <w:szCs w:val="22"/>
        </w:rPr>
        <w:t xml:space="preserve">ingest_pdf.py — extrae texto de PDFs del corpus (Materiales/).</w:t>
      </w:r>
    </w:p>
    <w:p>
      <w:pPr>
        <w:pStyle w:val="ListParagraph"/>
        <w:numPr>
          <w:ilvl w:val="0"/>
          <w:numId w:val="2"/>
        </w:numPr>
        <w:spacing w:after="80" w:line="280"/>
      </w:pPr>
      <w:r>
        <w:rPr>
          <w:rFonts w:ascii="Calibri" w:cs="Calibri" w:eastAsia="Calibri" w:hAnsi="Calibri"/>
          <w:sz w:val="22"/>
          <w:szCs w:val="22"/>
        </w:rPr>
        <w:t xml:space="preserve">generate_kb.py — genera drafts con Mistral 7B local vía Ollama.</w:t>
      </w:r>
    </w:p>
    <w:p>
      <w:pPr>
        <w:pStyle w:val="ListParagraph"/>
        <w:numPr>
          <w:ilvl w:val="0"/>
          <w:numId w:val="2"/>
        </w:numPr>
        <w:spacing w:after="80" w:line="280"/>
      </w:pPr>
      <w:r>
        <w:rPr>
          <w:rFonts w:ascii="Calibri" w:cs="Calibri" w:eastAsia="Calibri" w:hAnsi="Calibri"/>
          <w:sz w:val="22"/>
          <w:szCs w:val="22"/>
        </w:rPr>
        <w:t xml:space="preserve">validator.py — valida y consolida drafts contra el KB productivo.</w:t>
      </w:r>
    </w:p>
    <w:p>
      <w:pPr>
        <w:spacing w:after="120" w:line="300"/>
      </w:pPr>
      <w:r>
        <w:rPr>
          <w:rFonts w:ascii="Calibri" w:cs="Calibri" w:eastAsia="Calibri" w:hAnsi="Calibri"/>
          <w:b/>
          <w:bCs/>
          <w:sz w:val="22"/>
          <w:szCs w:val="22"/>
        </w:rPr>
        <w:t xml:space="preserve">Runtime: </w:t>
      </w:r>
      <w:r>
        <w:rPr>
          <w:rFonts w:ascii="Calibri" w:cs="Calibri" w:eastAsia="Calibri" w:hAnsi="Calibri"/>
          <w:sz w:val="22"/>
          <w:szCs w:val="22"/>
        </w:rPr>
        <w:t xml:space="preserve">matcher fuzzy (Jaccard + Levenshtein) con umbrales de confianza 0.85 (hit directo) / 0.60 (hit tentativo re-escrito por Llama 3.2) / &lt;0.60 (fallback a LLM vía proxy).</w:t>
      </w:r>
    </w:p>
    <w:p>
      <w:pPr>
        <w:spacing w:after="120" w:line="300"/>
      </w:pPr>
      <w:r>
        <w:rPr>
          <w:rFonts w:ascii="Calibri" w:cs="Calibri" w:eastAsia="Calibri" w:hAnsi="Calibri"/>
          <w:b/>
          <w:bCs/>
          <w:sz w:val="22"/>
          <w:szCs w:val="22"/>
        </w:rPr>
        <w:t xml:space="preserve">Deploy: </w:t>
      </w:r>
      <w:r>
        <w:rPr>
          <w:rFonts w:ascii="Calibri" w:cs="Calibri" w:eastAsia="Calibri" w:hAnsi="Calibri"/>
          <w:sz w:val="22"/>
          <w:szCs w:val="22"/>
        </w:rPr>
        <w:t xml:space="preserve">Vercel autodeploy desde main + verificación remota con scripts/verify_deploy.py.</w:t>
      </w:r>
    </w:p>
    <w:p>
      <w:pPr>
        <w:pStyle w:val="Heading1"/>
        <w:spacing w:after="180" w:before="360"/>
      </w:pPr>
      <w:r>
        <w:rPr>
          <w:rFonts w:ascii="Calibri" w:cs="Calibri" w:eastAsia="Calibri" w:hAnsi="Calibri"/>
          <w:b/>
          <w:bCs/>
          <w:color w:val="1F3A5F"/>
          <w:sz w:val="32"/>
          <w:szCs w:val="32"/>
        </w:rPr>
        <w:t xml:space="preserve">3. Lo hecho — Fases 1, 2 y 2.5</w:t>
      </w:r>
    </w:p>
    <w:p>
      <w:pPr>
        <w:pStyle w:val="Heading2"/>
        <w:spacing w:after="140" w:before="280"/>
      </w:pPr>
      <w:r>
        <w:rPr>
          <w:rFonts w:ascii="Calibri" w:cs="Calibri" w:eastAsia="Calibri" w:hAnsi="Calibri"/>
          <w:b/>
          <w:bCs/>
          <w:color w:val="1F3A5F"/>
          <w:sz w:val="26"/>
          <w:szCs w:val="26"/>
        </w:rPr>
        <w:t xml:space="preserve">3.1 Fase 1 — Corpus, ingesta y matcher</w:t>
      </w:r>
    </w:p>
    <w:p>
      <w:pPr>
        <w:spacing w:after="120" w:line="300"/>
      </w:pPr>
      <w:r>
        <w:rPr>
          <w:rFonts w:ascii="Calibri" w:cs="Calibri" w:eastAsia="Calibri" w:hAnsi="Calibri"/>
          <w:sz w:val="22"/>
          <w:szCs w:val="22"/>
        </w:rPr>
        <w:t xml:space="preserve">Estado: completa, en producción.</w:t>
      </w:r>
    </w:p>
    <w:p>
      <w:pPr>
        <w:pStyle w:val="ListParagraph"/>
        <w:numPr>
          <w:ilvl w:val="0"/>
          <w:numId w:val="2"/>
        </w:numPr>
        <w:spacing w:after="80" w:line="280"/>
      </w:pPr>
      <w:r>
        <w:rPr>
          <w:rFonts w:ascii="Calibri" w:cs="Calibri" w:eastAsia="Calibri" w:hAnsi="Calibri"/>
          <w:sz w:val="22"/>
          <w:szCs w:val="22"/>
        </w:rPr>
        <w:t xml:space="preserve">Ingesta de 4 PDFs núcleo del corpus (Bourdieu, Chiavenato ×2, Itinerario II y III de Contabilidad).</w:t>
      </w:r>
    </w:p>
    <w:p>
      <w:pPr>
        <w:pStyle w:val="ListParagraph"/>
        <w:numPr>
          <w:ilvl w:val="0"/>
          <w:numId w:val="2"/>
        </w:numPr>
        <w:spacing w:after="80" w:line="280"/>
      </w:pPr>
      <w:r>
        <w:rPr>
          <w:rFonts w:ascii="Calibri" w:cs="Calibri" w:eastAsia="Calibri" w:hAnsi="Calibri"/>
          <w:sz w:val="22"/>
          <w:szCs w:val="22"/>
        </w:rPr>
        <w:t xml:space="preserve">138 entries generadas, deduplicadas, con referencias a página verificables.</w:t>
      </w:r>
    </w:p>
    <w:p>
      <w:pPr>
        <w:pStyle w:val="ListParagraph"/>
        <w:numPr>
          <w:ilvl w:val="0"/>
          <w:numId w:val="2"/>
        </w:numPr>
        <w:spacing w:after="80" w:line="280"/>
      </w:pPr>
      <w:r>
        <w:rPr>
          <w:rFonts w:ascii="Calibri" w:cs="Calibri" w:eastAsia="Calibri" w:hAnsi="Calibri"/>
          <w:sz w:val="22"/>
          <w:szCs w:val="22"/>
        </w:rPr>
        <w:t xml:space="preserve">Matcher runtime operativo con latencia media &lt;15 ms sobre el KB completo.</w:t>
      </w:r>
    </w:p>
    <w:p>
      <w:pPr>
        <w:pStyle w:val="ListParagraph"/>
        <w:numPr>
          <w:ilvl w:val="0"/>
          <w:numId w:val="2"/>
        </w:numPr>
        <w:spacing w:after="80" w:line="280"/>
      </w:pPr>
      <w:r>
        <w:rPr>
          <w:rFonts w:ascii="Calibri" w:cs="Calibri" w:eastAsia="Calibri" w:hAnsi="Calibri"/>
          <w:sz w:val="22"/>
          <w:szCs w:val="22"/>
        </w:rPr>
        <w:t xml:space="preserve">Proxy LLM para fallback cuando el matcher no encuentra hit.</w:t>
      </w:r>
    </w:p>
    <w:p>
      <w:pPr>
        <w:spacing w:after="120" w:line="300"/>
      </w:pPr>
      <w:r>
        <w:rPr>
          <w:rFonts w:ascii="Calibri" w:cs="Calibri" w:eastAsia="Calibri" w:hAnsi="Calibri"/>
          <w:b/>
          <w:bCs/>
          <w:sz w:val="22"/>
          <w:szCs w:val="22"/>
        </w:rPr>
        <w:t xml:space="preserve">Evidencia de salud: </w:t>
      </w:r>
      <w:r>
        <w:rPr>
          <w:rFonts w:ascii="Calibri" w:cs="Calibri" w:eastAsia="Calibri" w:hAnsi="Calibri"/>
          <w:sz w:val="22"/>
          <w:szCs w:val="22"/>
        </w:rPr>
        <w:t xml:space="preserve">verify_deploy.py --local verde; demo_simulacro.js 10/10 verde.</w:t>
      </w:r>
    </w:p>
    <w:p>
      <w:pPr>
        <w:pStyle w:val="Heading2"/>
        <w:spacing w:after="140" w:before="280"/>
      </w:pPr>
      <w:r>
        <w:rPr>
          <w:rFonts w:ascii="Calibri" w:cs="Calibri" w:eastAsia="Calibri" w:hAnsi="Calibri"/>
          <w:b/>
          <w:bCs/>
          <w:color w:val="1F3A5F"/>
          <w:sz w:val="26"/>
          <w:szCs w:val="26"/>
        </w:rPr>
        <w:t xml:space="preserve">3.2 Fase 2 — Validator básico y deduplicación</w:t>
      </w:r>
    </w:p>
    <w:p>
      <w:pPr>
        <w:spacing w:after="120" w:line="300"/>
      </w:pPr>
      <w:r>
        <w:rPr>
          <w:rFonts w:ascii="Calibri" w:cs="Calibri" w:eastAsia="Calibri" w:hAnsi="Calibri"/>
          <w:sz w:val="22"/>
          <w:szCs w:val="22"/>
        </w:rPr>
        <w:t xml:space="preserve">Implementado en pipeline/validator.py. Reglas de aceptación:</w:t>
      </w:r>
    </w:p>
    <w:p>
      <w:pPr>
        <w:pStyle w:val="ListParagraph"/>
        <w:numPr>
          <w:ilvl w:val="0"/>
          <w:numId w:val="2"/>
        </w:numPr>
        <w:spacing w:after="80" w:line="280"/>
      </w:pPr>
      <w:r>
        <w:rPr>
          <w:rFonts w:ascii="Calibri" w:cs="Calibri" w:eastAsia="Calibri" w:hAnsi="Calibri"/>
          <w:sz w:val="22"/>
          <w:szCs w:val="22"/>
        </w:rPr>
        <w:t xml:space="preserve">Campos obligatorios presentes (id, type, patterns ≥ 2, answer_full ≥ 80 caracteres).</w:t>
      </w:r>
    </w:p>
    <w:p>
      <w:pPr>
        <w:pStyle w:val="ListParagraph"/>
        <w:numPr>
          <w:ilvl w:val="0"/>
          <w:numId w:val="2"/>
        </w:numPr>
        <w:spacing w:after="80" w:line="280"/>
      </w:pPr>
      <w:r>
        <w:rPr>
          <w:rFonts w:ascii="Calibri" w:cs="Calibri" w:eastAsia="Calibri" w:hAnsi="Calibri"/>
          <w:sz w:val="22"/>
          <w:szCs w:val="22"/>
        </w:rPr>
        <w:t xml:space="preserve">Frases prohibidas anti-alucinación / anti-evasión filtradas (FORBIDDEN_PHRASES).</w:t>
      </w:r>
    </w:p>
    <w:p>
      <w:pPr>
        <w:pStyle w:val="ListParagraph"/>
        <w:numPr>
          <w:ilvl w:val="0"/>
          <w:numId w:val="2"/>
        </w:numPr>
        <w:spacing w:after="80" w:line="280"/>
      </w:pPr>
      <w:r>
        <w:rPr>
          <w:rFonts w:ascii="Calibri" w:cs="Calibri" w:eastAsia="Calibri" w:hAnsi="Calibri"/>
          <w:sz w:val="22"/>
          <w:szCs w:val="22"/>
        </w:rPr>
        <w:t xml:space="preserve">source_refs no vacío para tipos material_concept y material_example.</w:t>
      </w:r>
    </w:p>
    <w:p>
      <w:pPr>
        <w:pStyle w:val="ListParagraph"/>
        <w:numPr>
          <w:ilvl w:val="0"/>
          <w:numId w:val="2"/>
        </w:numPr>
        <w:spacing w:after="80" w:line="280"/>
      </w:pPr>
      <w:r>
        <w:rPr>
          <w:rFonts w:ascii="Calibri" w:cs="Calibri" w:eastAsia="Calibri" w:hAnsi="Calibri"/>
          <w:sz w:val="22"/>
          <w:szCs w:val="22"/>
        </w:rPr>
        <w:t xml:space="preserve">Deduplicación de patterns inter-entry (gana la primera).</w:t>
      </w:r>
    </w:p>
    <w:p>
      <w:pPr>
        <w:pStyle w:val="ListParagraph"/>
        <w:numPr>
          <w:ilvl w:val="0"/>
          <w:numId w:val="2"/>
        </w:numPr>
        <w:spacing w:after="80" w:line="280"/>
      </w:pPr>
      <w:r>
        <w:rPr>
          <w:rFonts w:ascii="Calibri" w:cs="Calibri" w:eastAsia="Calibri" w:hAnsi="Calibri"/>
          <w:sz w:val="22"/>
          <w:szCs w:val="22"/>
        </w:rPr>
        <w:t xml:space="preserve">Deduplicación semántica de answers por Jaccard de tokens (umbral 0.60).</w:t>
      </w:r>
    </w:p>
    <w:p>
      <w:pPr>
        <w:pStyle w:val="ListParagraph"/>
        <w:numPr>
          <w:ilvl w:val="0"/>
          <w:numId w:val="2"/>
        </w:numPr>
        <w:spacing w:after="80" w:line="280"/>
      </w:pPr>
      <w:r>
        <w:rPr>
          <w:rFonts w:ascii="Calibri" w:cs="Calibri" w:eastAsia="Calibri" w:hAnsi="Calibri"/>
          <w:sz w:val="22"/>
          <w:szCs w:val="22"/>
        </w:rPr>
        <w:t xml:space="preserve">Auto-fix de sufijos en inglés (_concept → _concepto, etc.).</w:t>
      </w:r>
    </w:p>
    <w:p>
      <w:pPr>
        <w:pStyle w:val="ListParagraph"/>
        <w:numPr>
          <w:ilvl w:val="0"/>
          <w:numId w:val="2"/>
        </w:numPr>
        <w:spacing w:after="80" w:line="280"/>
      </w:pPr>
      <w:r>
        <w:rPr>
          <w:rFonts w:ascii="Calibri" w:cs="Calibri" w:eastAsia="Calibri" w:hAnsi="Calibri"/>
          <w:sz w:val="22"/>
          <w:szCs w:val="22"/>
        </w:rPr>
        <w:t xml:space="preserve">Resolución de colisiones de ID con sufijo incremental.</w:t>
      </w:r>
    </w:p>
    <w:p>
      <w:pPr>
        <w:pStyle w:val="Heading2"/>
        <w:spacing w:after="140" w:before="280"/>
      </w:pPr>
      <w:r>
        <w:rPr>
          <w:rFonts w:ascii="Calibri" w:cs="Calibri" w:eastAsia="Calibri" w:hAnsi="Calibri"/>
          <w:b/>
          <w:bCs/>
          <w:color w:val="1F3A5F"/>
          <w:sz w:val="26"/>
          <w:szCs w:val="26"/>
        </w:rPr>
        <w:t xml:space="preserve">3.3 Auditoría independiente — script audit_hallucinations.py</w:t>
      </w:r>
    </w:p>
    <w:p>
      <w:pPr>
        <w:spacing w:after="120" w:line="300"/>
      </w:pPr>
      <w:r>
        <w:rPr>
          <w:rFonts w:ascii="Calibri" w:cs="Calibri" w:eastAsia="Calibri" w:hAnsi="Calibri"/>
          <w:sz w:val="22"/>
          <w:szCs w:val="22"/>
        </w:rPr>
        <w:t xml:space="preserve">Durante la revisión se detectó que el generador (Mistral 7B) producía entries con tres clases de problema no capturables por el validator básico:</w:t>
      </w:r>
    </w:p>
    <w:p>
      <w:pPr>
        <w:pStyle w:val="ListParagraph"/>
        <w:numPr>
          <w:ilvl w:val="0"/>
          <w:numId w:val="2"/>
        </w:numPr>
        <w:spacing w:after="80" w:line="280"/>
      </w:pPr>
      <w:r>
        <w:rPr>
          <w:rFonts w:ascii="Calibri" w:cs="Calibri" w:eastAsia="Calibri" w:hAnsi="Calibri"/>
          <w:sz w:val="22"/>
          <w:szCs w:val="22"/>
        </w:rPr>
        <w:t xml:space="preserve">Fugas cross-domain — una entry de Sociales que mezclaba conceptos contables en su definición.</w:t>
      </w:r>
    </w:p>
    <w:p>
      <w:pPr>
        <w:pStyle w:val="ListParagraph"/>
        <w:numPr>
          <w:ilvl w:val="0"/>
          <w:numId w:val="2"/>
        </w:numPr>
        <w:spacing w:after="80" w:line="280"/>
      </w:pPr>
      <w:r>
        <w:rPr>
          <w:rFonts w:ascii="Calibri" w:cs="Calibri" w:eastAsia="Calibri" w:hAnsi="Calibri"/>
          <w:sz w:val="22"/>
          <w:szCs w:val="22"/>
        </w:rPr>
        <w:t xml:space="preserve">IDs genéricos y duplicados semánticos — bourdieu_concepto_3, _5, _7 con contenido redundante.</w:t>
      </w:r>
    </w:p>
    <w:p>
      <w:pPr>
        <w:pStyle w:val="ListParagraph"/>
        <w:numPr>
          <w:ilvl w:val="0"/>
          <w:numId w:val="2"/>
        </w:numPr>
        <w:spacing w:after="80" w:line="280"/>
      </w:pPr>
      <w:r>
        <w:rPr>
          <w:rFonts w:ascii="Calibri" w:cs="Calibri" w:eastAsia="Calibri" w:hAnsi="Calibri"/>
          <w:sz w:val="22"/>
          <w:szCs w:val="22"/>
        </w:rPr>
        <w:t xml:space="preserve">Typos alucinados — Mistral tipeó "marcado" por "mercado" y generó contenido incoherente que, por cercanía Levenshtein, matcheaba fuzzy con la query real del usuario.</w:t>
      </w:r>
    </w:p>
    <w:p>
      <w:pPr>
        <w:spacing w:after="120" w:line="300"/>
      </w:pPr>
      <w:r>
        <w:rPr>
          <w:rFonts w:ascii="Calibri" w:cs="Calibri" w:eastAsia="Calibri" w:hAnsi="Calibri"/>
          <w:sz w:val="22"/>
          <w:szCs w:val="22"/>
        </w:rPr>
        <w:t xml:space="preserve">Se construyó scripts/audit_hallucinations.py con siete heurísticas independientes: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c>
          <w:tcPr>
            <w:tcW w:type="dxa" w:w="12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Heurística</w:t>
            </w:r>
          </w:p>
        </w:tc>
        <w:tc>
          <w:tcPr>
            <w:tcW w:type="dxa" w:w="55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Detecta</w:t>
            </w:r>
          </w:p>
        </w:tc>
        <w:tc>
          <w:tcPr>
            <w:tcW w:type="dxa" w:w="266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Severidad</w:t>
            </w:r>
          </w:p>
        </w:tc>
      </w:tr>
      <w:tr>
        <w:tc>
          <w:tcPr>
            <w:tcW w:type="dxa" w:w="12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H1</w:t>
            </w:r>
          </w:p>
        </w:tc>
        <w:tc>
          <w:tcPr>
            <w:tcW w:type="dxa" w:w="5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Mención a materia ajena</w:t>
            </w:r>
          </w:p>
        </w:tc>
        <w:tc>
          <w:tcPr>
            <w:tcW w:type="dxa" w:w="26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alta si combina con marker</w:t>
            </w:r>
          </w:p>
        </w:tc>
      </w:tr>
      <w:tr>
        <w:tc>
          <w:tcPr>
            <w:tcW w:type="dxa" w:w="12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H2</w:t>
            </w:r>
          </w:p>
        </w:tc>
        <w:tc>
          <w:tcPr>
            <w:tcW w:type="dxa" w:w="5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ID genérico con sufijo numérico _N</w:t>
            </w:r>
          </w:p>
        </w:tc>
        <w:tc>
          <w:tcPr>
            <w:tcW w:type="dxa" w:w="26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baja aislada</w:t>
            </w:r>
          </w:p>
        </w:tc>
      </w:tr>
      <w:tr>
        <w:tc>
          <w:tcPr>
            <w:tcW w:type="dxa" w:w="12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H3</w:t>
            </w:r>
          </w:p>
        </w:tc>
        <w:tc>
          <w:tcPr>
            <w:tcW w:type="dxa" w:w="5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Todos los patterns son templates formulaicos</w:t>
            </w:r>
          </w:p>
        </w:tc>
        <w:tc>
          <w:tcPr>
            <w:tcW w:type="dxa" w:w="26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media si combina con H2</w:t>
            </w:r>
          </w:p>
        </w:tc>
      </w:tr>
      <w:tr>
        <w:tc>
          <w:tcPr>
            <w:tcW w:type="dxa" w:w="12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H4</w:t>
            </w:r>
          </w:p>
        </w:tc>
        <w:tc>
          <w:tcPr>
            <w:tcW w:type="dxa" w:w="5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Autor esperado no aparece en el contenido</w:t>
            </w:r>
          </w:p>
        </w:tc>
        <w:tc>
          <w:tcPr>
            <w:tcW w:type="dxa" w:w="26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media</w:t>
            </w:r>
          </w:p>
        </w:tc>
      </w:tr>
      <w:tr>
        <w:tc>
          <w:tcPr>
            <w:tcW w:type="dxa" w:w="12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H5</w:t>
            </w:r>
          </w:p>
        </w:tc>
        <w:tc>
          <w:tcPr>
            <w:tcW w:type="dxa" w:w="5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Answer demasiado breve</w:t>
            </w:r>
          </w:p>
        </w:tc>
        <w:tc>
          <w:tcPr>
            <w:tcW w:type="dxa" w:w="26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baja</w:t>
            </w:r>
          </w:p>
        </w:tc>
      </w:tr>
      <w:tr>
        <w:tc>
          <w:tcPr>
            <w:tcW w:type="dxa" w:w="12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H6</w:t>
            </w:r>
          </w:p>
        </w:tc>
        <w:tc>
          <w:tcPr>
            <w:tcW w:type="dxa" w:w="5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Frases prohibidas</w:t>
            </w:r>
          </w:p>
        </w:tc>
        <w:tc>
          <w:tcPr>
            <w:tcW w:type="dxa" w:w="26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alta</w:t>
            </w:r>
          </w:p>
        </w:tc>
      </w:tr>
      <w:tr>
        <w:tc>
          <w:tcPr>
            <w:tcW w:type="dxa" w:w="12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H7</w:t>
            </w:r>
          </w:p>
        </w:tc>
        <w:tc>
          <w:tcPr>
            <w:tcW w:type="dxa" w:w="5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Raíz del ID a distancia Levenshtein ≤ 2 de un término común sin match exacto</w:t>
            </w:r>
          </w:p>
        </w:tc>
        <w:tc>
          <w:tcPr>
            <w:tcW w:type="dxa" w:w="26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alta si combina con H3</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Resultado del triage previo al demo: </w:t>
      </w:r>
      <w:r>
        <w:rPr>
          <w:rFonts w:ascii="Calibri" w:cs="Calibri" w:eastAsia="Calibri" w:hAnsi="Calibri"/>
          <w:sz w:val="22"/>
          <w:szCs w:val="22"/>
        </w:rPr>
        <w:t xml:space="preserve">sobre 138 entries, se flagueron 44 (31,9 %). Se aplicó cirugía textual sobre 4 (Admin, limpieza cross-domain conservadora) y neutralización (patterns=[], demo_safe=false, backup en _original_patterns) sobre 21 adicionales (Sociales + Admin). Dos falsos positivos fueron explícitamente whitelisted.</w:t>
      </w:r>
    </w:p>
    <w:p>
      <w:pPr>
        <w:pStyle w:val="Heading3"/>
        <w:spacing w:after="120" w:before="220"/>
      </w:pPr>
      <w:r>
        <w:rPr>
          <w:rFonts w:ascii="Calibri" w:cs="Calibri" w:eastAsia="Calibri" w:hAnsi="Calibri"/>
          <w:b/>
          <w:bCs/>
          <w:sz w:val="23"/>
          <w:szCs w:val="23"/>
        </w:rPr>
        <w:t xml:space="preserve">Estado final de la base de conocimiento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Métrica</w:t>
            </w:r>
          </w:p>
        </w:tc>
        <w:tc>
          <w:tcPr>
            <w:tcW w:type="dxa" w:w="286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Valor</w:t>
            </w:r>
          </w:p>
        </w:tc>
      </w:tr>
      <w:tr>
        <w:tc>
          <w:tcPr>
            <w:tcW w:type="dxa" w:w="6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activas (servidas por el matcher)</w:t>
            </w:r>
          </w:p>
        </w:tc>
        <w:tc>
          <w:tcPr>
            <w:tcW w:type="dxa" w:w="28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115</w:t>
            </w:r>
          </w:p>
        </w:tc>
      </w:tr>
      <w:tr>
        <w:tc>
          <w:tcPr>
            <w:tcW w:type="dxa" w:w="6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neutralizadas (presentes para trazabilidad, invisibles al runtime)</w:t>
            </w:r>
          </w:p>
        </w:tc>
        <w:tc>
          <w:tcPr>
            <w:tcW w:type="dxa" w:w="28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23</w:t>
            </w:r>
          </w:p>
        </w:tc>
      </w:tr>
      <w:tr>
        <w:tc>
          <w:tcPr>
            <w:tcW w:type="dxa" w:w="6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whitelisted (audit_whitelist_reason documentado)</w:t>
            </w:r>
          </w:p>
        </w:tc>
        <w:tc>
          <w:tcPr>
            <w:tcW w:type="dxa" w:w="28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w:t>
            </w:r>
          </w:p>
        </w:tc>
      </w:tr>
      <w:tr>
        <w:tc>
          <w:tcPr>
            <w:tcW w:type="dxa" w:w="6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severidad ALTA o MEDIA pendientes</w:t>
            </w:r>
          </w:p>
        </w:tc>
        <w:tc>
          <w:tcPr>
            <w:tcW w:type="dxa" w:w="28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0</w:t>
            </w:r>
          </w:p>
        </w:tc>
      </w:tr>
      <w:tr>
        <w:tc>
          <w:tcPr>
            <w:tcW w:type="dxa" w:w="6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severidad BAJA pendientes (code-smell H2/H3)</w:t>
            </w:r>
          </w:p>
        </w:tc>
        <w:tc>
          <w:tcPr>
            <w:tcW w:type="dxa" w:w="28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21</w:t>
            </w:r>
          </w:p>
        </w:tc>
      </w:tr>
    </w:tbl>
    <w:p>
      <w:pPr>
        <w:pStyle w:val="Heading2"/>
        <w:spacing w:after="140" w:before="280"/>
      </w:pPr>
      <w:r>
        <w:rPr>
          <w:rFonts w:ascii="Calibri" w:cs="Calibri" w:eastAsia="Calibri" w:hAnsi="Calibri"/>
          <w:b/>
          <w:bCs/>
          <w:color w:val="1F3A5F"/>
          <w:sz w:val="26"/>
          <w:szCs w:val="26"/>
        </w:rPr>
        <w:t xml:space="preserve">3.4 Fase 2.5 — Semantic validator (completada 2026-04-19)</w:t>
      </w:r>
    </w:p>
    <w:p>
      <w:pPr>
        <w:spacing w:after="120" w:line="300"/>
      </w:pPr>
      <w:r>
        <w:rPr>
          <w:rFonts w:ascii="Calibri" w:cs="Calibri" w:eastAsia="Calibri" w:hAnsi="Calibri"/>
          <w:sz w:val="22"/>
          <w:szCs w:val="22"/>
        </w:rPr>
        <w:t xml:space="preserve">La auditoría identificó que las tres clases de problema podían repetirse en cada batch nuevo (OCR Itinerario I, Foucault, Fisher, etc.). Para prevenir que contenido alucinado llegue al KB, se extendió pipeline/validator.py con cinco reglas bloqueantes: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360"/>
      </w:tblGrid>
      <w:tr>
        <w:tc>
          <w:tcPr>
            <w:tcW w:type="dxa" w:w="24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Regla</w:t>
            </w:r>
          </w:p>
        </w:tc>
        <w:tc>
          <w:tcPr>
            <w:tcW w:type="dxa" w:w="56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Detecta</w:t>
            </w:r>
          </w:p>
        </w:tc>
        <w:tc>
          <w:tcPr>
            <w:tcW w:type="dxa" w:w="136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Espeja</w:t>
            </w:r>
          </w:p>
        </w:tc>
      </w:tr>
      <w:tr>
        <w:tc>
          <w:tcPr>
            <w:tcW w:type="dxa" w:w="24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S1 cross_domain_leak</w:t>
            </w:r>
          </w:p>
        </w:tc>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Materia ajena mencionada + marker fuerte de esa materia en el mismo answer</w:t>
            </w:r>
          </w:p>
        </w:tc>
        <w:tc>
          <w:tcPr>
            <w:tcW w:type="dxa" w:w="13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H1</w:t>
            </w:r>
          </w:p>
        </w:tc>
      </w:tr>
      <w:tr>
        <w:tc>
          <w:tcPr>
            <w:tcW w:type="dxa" w:w="24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S2 overgen_id</w:t>
            </w:r>
          </w:p>
        </w:tc>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ID con sufijo numérico _N donde N ≥ 3</w:t>
            </w:r>
          </w:p>
        </w:tc>
        <w:tc>
          <w:tcPr>
            <w:tcW w:type="dxa" w:w="13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H2 (crítico)</w:t>
            </w:r>
          </w:p>
        </w:tc>
      </w:tr>
      <w:tr>
        <w:tc>
          <w:tcPr>
            <w:tcW w:type="dxa" w:w="24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S3 pattern_diversity</w:t>
            </w:r>
          </w:p>
        </w:tc>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Todos los patterns formulaicos sin keyword específica</w:t>
            </w:r>
          </w:p>
        </w:tc>
        <w:tc>
          <w:tcPr>
            <w:tcW w:type="dxa" w:w="13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H3</w:t>
            </w:r>
          </w:p>
        </w:tc>
      </w:tr>
      <w:tr>
        <w:tc>
          <w:tcPr>
            <w:tcW w:type="dxa" w:w="24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S4 author_presence</w:t>
            </w:r>
          </w:p>
        </w:tc>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Entry con autor esperado (vía expected_author o mapping materia+unidad) donde el autor no aparece en el contenido</w:t>
            </w:r>
          </w:p>
        </w:tc>
        <w:tc>
          <w:tcPr>
            <w:tcW w:type="dxa" w:w="13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H4</w:t>
            </w:r>
          </w:p>
        </w:tc>
      </w:tr>
      <w:tr>
        <w:tc>
          <w:tcPr>
            <w:tcW w:type="dxa" w:w="24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S5 typo_hallucination</w:t>
            </w:r>
          </w:p>
        </w:tc>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Raíz del ID a distancia Levenshtein ≤ 2 de un término común sin match exacto</w:t>
            </w:r>
          </w:p>
        </w:tc>
        <w:tc>
          <w:tcPr>
            <w:tcW w:type="dxa" w:w="13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H7</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El comportamiento de S1–S5 es reversible: NEXUS_VALIDATOR_STRICT=0 desactiva el bloqueo (útil para migrar drafts legacy). Las entries con validator_whitelist: true o audit_whitelist_reason saltean S1–S5 — el mismo mecanismo de escape que usa la auditoría.</w:t>
      </w:r>
    </w:p>
    <w:p>
      <w:pPr>
        <w:pStyle w:val="Heading3"/>
        <w:spacing w:after="120" w:before="220"/>
      </w:pPr>
      <w:r>
        <w:rPr>
          <w:rFonts w:ascii="Calibri" w:cs="Calibri" w:eastAsia="Calibri" w:hAnsi="Calibri"/>
          <w:b/>
          <w:bCs/>
          <w:sz w:val="23"/>
          <w:szCs w:val="23"/>
        </w:rPr>
        <w:t xml:space="preserve">Diferencia de rol entre audit y validator</w:t>
      </w:r>
    </w:p>
    <w:p>
      <w:pPr>
        <w:pStyle w:val="ListParagraph"/>
        <w:numPr>
          <w:ilvl w:val="0"/>
          <w:numId w:val="2"/>
        </w:numPr>
        <w:spacing w:after="80" w:line="280"/>
      </w:pPr>
      <w:r>
        <w:rPr>
          <w:rFonts w:ascii="Calibri" w:cs="Calibri" w:eastAsia="Calibri" w:hAnsi="Calibri"/>
          <w:b/>
          <w:bCs/>
          <w:sz w:val="22"/>
          <w:szCs w:val="22"/>
        </w:rPr>
        <w:t xml:space="preserve">Audit: </w:t>
      </w:r>
      <w:r>
        <w:rPr>
          <w:rFonts w:ascii="Calibri" w:cs="Calibri" w:eastAsia="Calibri" w:hAnsi="Calibri"/>
          <w:sz w:val="22"/>
          <w:szCs w:val="22"/>
        </w:rPr>
        <w:t xml:space="preserve">reporta todo lo sospechoso (21 entries flagueadas BAJA en KB actual), incluyendo code-smells aceptables.</w:t>
      </w:r>
    </w:p>
    <w:p>
      <w:pPr>
        <w:pStyle w:val="ListParagraph"/>
        <w:numPr>
          <w:ilvl w:val="0"/>
          <w:numId w:val="2"/>
        </w:numPr>
        <w:spacing w:after="80" w:line="280"/>
      </w:pPr>
      <w:r>
        <w:rPr>
          <w:rFonts w:ascii="Calibri" w:cs="Calibri" w:eastAsia="Calibri" w:hAnsi="Calibri"/>
          <w:b/>
          <w:bCs/>
          <w:sz w:val="22"/>
          <w:szCs w:val="22"/>
        </w:rPr>
        <w:t xml:space="preserve">Validator: </w:t>
      </w:r>
      <w:r>
        <w:rPr>
          <w:rFonts w:ascii="Calibri" w:cs="Calibri" w:eastAsia="Calibri" w:hAnsi="Calibri"/>
          <w:sz w:val="22"/>
          <w:szCs w:val="22"/>
        </w:rPr>
        <w:t xml:space="preserve">bloquea solo lo que es inaceptable en generación nueva (5 entries bloqueadas en la KB actual si se reprocesara — todas ya conocidas por la auditoría).</w:t>
      </w:r>
    </w:p>
    <w:p>
      <w:pPr>
        <w:pStyle w:val="Heading3"/>
        <w:spacing w:after="120" w:before="220"/>
      </w:pPr>
      <w:r>
        <w:rPr>
          <w:rFonts w:ascii="Calibri" w:cs="Calibri" w:eastAsia="Calibri" w:hAnsi="Calibri"/>
          <w:b/>
          <w:bCs/>
          <w:sz w:val="23"/>
          <w:szCs w:val="23"/>
        </w:rPr>
        <w:t xml:space="preserve">Verificación de Fase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Verificación</w:t>
            </w:r>
          </w:p>
        </w:tc>
        <w:tc>
          <w:tcPr>
            <w:tcW w:type="dxa" w:w="376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Resultado</w:t>
            </w:r>
          </w:p>
        </w:tc>
      </w:tr>
      <w:tr>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Unit tests internos (S1–S5 + helpers) vía python pipeline/validator.py --self-test</w:t>
            </w:r>
          </w:p>
        </w:tc>
        <w:tc>
          <w:tcPr>
            <w:tcW w:type="dxa" w:w="37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 15 tests verdes</w:t>
            </w:r>
          </w:p>
        </w:tc>
      </w:tr>
      <w:tr>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A/B diff STRICT=OFF vs STRICT=ON sobre draft real Chiavenato</w:t>
            </w:r>
          </w:p>
        </w:tc>
        <w:tc>
          <w:tcPr>
            <w:tcW w:type="dxa" w:w="37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+1 S3 catch adicional</w:t>
            </w:r>
          </w:p>
        </w:tc>
      </w:tr>
      <w:tr>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Parity check validator ⇄ audit sobre KB actual</w:t>
            </w:r>
          </w:p>
        </w:tc>
        <w:tc>
          <w:tcPr>
            <w:tcW w:type="dxa" w:w="37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Overlap V∩A = 100 % · V-only = 0</w:t>
            </w:r>
          </w:p>
        </w:tc>
      </w:tr>
      <w:tr>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KB hash pre/post build (md5sum kb/knowledge_base.json)</w:t>
            </w:r>
          </w:p>
        </w:tc>
        <w:tc>
          <w:tcPr>
            <w:tcW w:type="dxa" w:w="37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Idéntico (Fase 2.5 es 100 % generation-time)</w:t>
            </w:r>
          </w:p>
        </w:tc>
      </w:tr>
      <w:tr>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verify_deploy.py --local</w:t>
            </w:r>
          </w:p>
        </w:tc>
        <w:tc>
          <w:tcPr>
            <w:tcW w:type="dxa" w:w="37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20/20 controles verdes</w:t>
            </w:r>
          </w:p>
        </w:tc>
      </w:tr>
      <w:tr>
        <w:tc>
          <w:tcPr>
            <w:tcW w:type="dxa" w:w="56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demo_simulacro.js (10 queries del DEMO_FLOW)</w:t>
            </w:r>
          </w:p>
        </w:tc>
        <w:tc>
          <w:tcPr>
            <w:tcW w:type="dxa" w:w="37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10/10 verdes · latencias 6–46 ms</w:t>
            </w:r>
          </w:p>
        </w:tc>
      </w:tr>
    </w:tbl>
    <w:p>
      <w:pPr>
        <w:pStyle w:val="Heading1"/>
        <w:spacing w:after="180" w:before="360"/>
      </w:pPr>
      <w:r>
        <w:rPr>
          <w:rFonts w:ascii="Calibri" w:cs="Calibri" w:eastAsia="Calibri" w:hAnsi="Calibri"/>
          <w:b/>
          <w:bCs/>
          <w:color w:val="1F3A5F"/>
          <w:sz w:val="32"/>
          <w:szCs w:val="32"/>
        </w:rPr>
        <w:t xml:space="preserve">4. Lo que queda — Roadmap remanente</w:t>
      </w:r>
    </w:p>
    <w:p>
      <w:pPr>
        <w:pStyle w:val="Heading2"/>
        <w:spacing w:after="140" w:before="280"/>
      </w:pPr>
      <w:r>
        <w:rPr>
          <w:rFonts w:ascii="Calibri" w:cs="Calibri" w:eastAsia="Calibri" w:hAnsi="Calibri"/>
          <w:b/>
          <w:bCs/>
          <w:color w:val="1F3A5F"/>
          <w:sz w:val="26"/>
          <w:szCs w:val="26"/>
        </w:rPr>
        <w:t xml:space="preserve">4.1 Fase 3 — OCR + cache layer</w:t>
      </w:r>
    </w:p>
    <w:p>
      <w:pPr>
        <w:spacing w:after="120" w:line="300"/>
      </w:pPr>
      <w:r>
        <w:rPr>
          <w:rFonts w:ascii="Calibri" w:cs="Calibri" w:eastAsia="Calibri" w:hAnsi="Calibri"/>
          <w:b/>
          <w:bCs/>
          <w:sz w:val="22"/>
          <w:szCs w:val="22"/>
        </w:rPr>
        <w:t xml:space="preserve">Estado: </w:t>
      </w:r>
      <w:r>
        <w:rPr>
          <w:rFonts w:ascii="Calibri" w:cs="Calibri" w:eastAsia="Calibri" w:hAnsi="Calibri"/>
          <w:sz w:val="22"/>
          <w:szCs w:val="22"/>
        </w:rPr>
        <w:t xml:space="preserve">documentado en OCR_SCOUTING.md, ejecutable post-demo.</w:t>
      </w:r>
    </w:p>
    <w:p>
      <w:pPr>
        <w:pStyle w:val="ListParagraph"/>
        <w:numPr>
          <w:ilvl w:val="0"/>
          <w:numId w:val="2"/>
        </w:numPr>
        <w:spacing w:after="80" w:line="280"/>
      </w:pPr>
      <w:r>
        <w:rPr>
          <w:rFonts w:ascii="Calibri" w:cs="Calibri" w:eastAsia="Calibri" w:hAnsi="Calibri"/>
          <w:sz w:val="22"/>
          <w:szCs w:val="22"/>
        </w:rPr>
        <w:t xml:space="preserve">Pipeline OCR validado: Tesseract 4.1.1 + Poppler, lang spa. Tiempo end-to-end estimado 45–60 min para los 2 PDFs escaneados de Itinerario I de Contabilidad (37 páginas).</w:t>
      </w:r>
    </w:p>
    <w:p>
      <w:pPr>
        <w:pStyle w:val="ListParagraph"/>
        <w:numPr>
          <w:ilvl w:val="0"/>
          <w:numId w:val="2"/>
        </w:numPr>
        <w:spacing w:after="80" w:line="280"/>
      </w:pPr>
      <w:r>
        <w:rPr>
          <w:rFonts w:ascii="Calibri" w:cs="Calibri" w:eastAsia="Calibri" w:hAnsi="Calibri"/>
          <w:sz w:val="22"/>
          <w:szCs w:val="22"/>
        </w:rPr>
        <w:t xml:space="preserve">Proyección: la KB pasa de 138 a ~200 entries; Contabilidad pasa de 40 a ~100.</w:t>
      </w:r>
    </w:p>
    <w:p>
      <w:pPr>
        <w:pStyle w:val="ListParagraph"/>
        <w:numPr>
          <w:ilvl w:val="0"/>
          <w:numId w:val="2"/>
        </w:numPr>
        <w:spacing w:after="80" w:line="280"/>
      </w:pPr>
      <w:r>
        <w:rPr>
          <w:rFonts w:ascii="Calibri" w:cs="Calibri" w:eastAsia="Calibri" w:hAnsi="Calibri"/>
          <w:sz w:val="22"/>
          <w:szCs w:val="22"/>
        </w:rPr>
        <w:t xml:space="preserve">Cache QA: kb/qa_cache.json ya existe como infra pasiva (feature flag OFF). Activación post-demo.</w:t>
      </w:r>
    </w:p>
    <w:p>
      <w:pPr>
        <w:pStyle w:val="Heading2"/>
        <w:spacing w:after="140" w:before="280"/>
      </w:pPr>
      <w:r>
        <w:rPr>
          <w:rFonts w:ascii="Calibri" w:cs="Calibri" w:eastAsia="Calibri" w:hAnsi="Calibri"/>
          <w:b/>
          <w:bCs/>
          <w:color w:val="1F3A5F"/>
          <w:sz w:val="26"/>
          <w:szCs w:val="26"/>
        </w:rPr>
        <w:t xml:space="preserve">4.2 Fase 4 — Integración UI Sovereign</w:t>
      </w:r>
    </w:p>
    <w:p>
      <w:pPr>
        <w:spacing w:after="120" w:line="300"/>
      </w:pPr>
      <w:r>
        <w:rPr>
          <w:rFonts w:ascii="Calibri" w:cs="Calibri" w:eastAsia="Calibri" w:hAnsi="Calibri"/>
          <w:sz w:val="22"/>
          <w:szCs w:val="22"/>
        </w:rPr>
        <w:t xml:space="preserve">Nueva. Detallada en la sección 5.</w:t>
      </w:r>
    </w:p>
    <w:p>
      <w:pPr>
        <w:pStyle w:val="Heading1"/>
        <w:spacing w:after="180" w:before="360"/>
      </w:pPr>
      <w:r>
        <w:rPr>
          <w:rFonts w:ascii="Calibri" w:cs="Calibri" w:eastAsia="Calibri" w:hAnsi="Calibri"/>
          <w:b/>
          <w:bCs/>
          <w:color w:val="1F3A5F"/>
          <w:sz w:val="32"/>
          <w:szCs w:val="32"/>
        </w:rPr>
        <w:t xml:space="preserve">5. Fase 4 — Integración segura de la UI Sovereign</w:t>
      </w:r>
    </w:p>
    <w:p>
      <w:pPr>
        <w:pStyle w:val="Heading2"/>
        <w:spacing w:after="140" w:before="280"/>
      </w:pPr>
      <w:r>
        <w:rPr>
          <w:rFonts w:ascii="Calibri" w:cs="Calibri" w:eastAsia="Calibri" w:hAnsi="Calibri"/>
          <w:b/>
          <w:bCs/>
          <w:color w:val="1F3A5F"/>
          <w:sz w:val="26"/>
          <w:szCs w:val="26"/>
        </w:rPr>
        <w:t xml:space="preserve">5.1 Contexto</w:t>
      </w:r>
    </w:p>
    <w:p>
      <w:pPr>
        <w:spacing w:after="120" w:line="300"/>
      </w:pPr>
      <w:r>
        <w:rPr>
          <w:rFonts w:ascii="Calibri" w:cs="Calibri" w:eastAsia="Calibri" w:hAnsi="Calibri"/>
          <w:sz w:val="22"/>
          <w:szCs w:val="22"/>
        </w:rPr>
        <w:t xml:space="preserve">La UI mostrada en la presentación del 18 de abril de 2026 es un archivo standalone (NEXUS-preview-sovereign.html, 1 525 líneas) con un design system premium propio: tipografía Inter/JetBrains Mono, paleta oscura con acentos verde / púrpura / rojo, cicladora de ejercicios, modo pánico activable, ticker de eventos, modal manifiesto NEXUS_OS y toast de patrones detectados. No comparte CSS ni namespaces con index.html (el portal productivo), que tiene otra arquitectura visual y 5 162 líneas.</w:t>
      </w:r>
    </w:p>
    <w:p>
      <w:pPr>
        <w:spacing w:after="120" w:line="300"/>
      </w:pPr>
      <w:r>
        <w:rPr>
          <w:rFonts w:ascii="Calibri" w:cs="Calibri" w:eastAsia="Calibri" w:hAnsi="Calibri"/>
          <w:sz w:val="22"/>
          <w:szCs w:val="22"/>
        </w:rPr>
        <w:t xml:space="preserve">Integrar esta UI al portal real es un trabajo que, si se hace mal, rompe la demo. Si se hace bien, eleva el producto al nivel visual que ya vio el auditor. La Fase 4 está diseñada para que la integración sea reversible, progresiva y verificable en cada paso.</w:t>
      </w:r>
    </w:p>
    <w:p>
      <w:pPr>
        <w:pStyle w:val="Heading2"/>
        <w:spacing w:after="140" w:before="280"/>
      </w:pPr>
      <w:r>
        <w:rPr>
          <w:rFonts w:ascii="Calibri" w:cs="Calibri" w:eastAsia="Calibri" w:hAnsi="Calibri"/>
          <w:b/>
          <w:bCs/>
          <w:color w:val="1F3A5F"/>
          <w:sz w:val="26"/>
          <w:szCs w:val="26"/>
        </w:rPr>
        <w:t xml:space="preserve">5.2 Principios de diseño</w:t>
      </w:r>
    </w:p>
    <w:p>
      <w:pPr>
        <w:pStyle w:val="ListParagraph"/>
        <w:numPr>
          <w:ilvl w:val="0"/>
          <w:numId w:val="2"/>
        </w:numPr>
        <w:spacing w:after="80" w:line="280"/>
      </w:pPr>
      <w:r>
        <w:rPr>
          <w:rFonts w:ascii="Calibri" w:cs="Calibri" w:eastAsia="Calibri" w:hAnsi="Calibri"/>
          <w:b/>
          <w:bCs/>
          <w:sz w:val="22"/>
          <w:szCs w:val="22"/>
        </w:rPr>
        <w:t xml:space="preserve">UI-only. </w:t>
      </w:r>
      <w:r>
        <w:rPr>
          <w:rFonts w:ascii="Calibri" w:cs="Calibri" w:eastAsia="Calibri" w:hAnsi="Calibri"/>
          <w:sz w:val="22"/>
          <w:szCs w:val="22"/>
        </w:rPr>
        <w:t xml:space="preserve">Ninguna línea de Fase 4 toca el KB, el matcher, el validator, ni el pipeline. El backend permanece estable.</w:t>
      </w:r>
    </w:p>
    <w:p>
      <w:pPr>
        <w:pStyle w:val="ListParagraph"/>
        <w:numPr>
          <w:ilvl w:val="0"/>
          <w:numId w:val="2"/>
        </w:numPr>
        <w:spacing w:after="80" w:line="280"/>
      </w:pPr>
      <w:r>
        <w:rPr>
          <w:rFonts w:ascii="Calibri" w:cs="Calibri" w:eastAsia="Calibri" w:hAnsi="Calibri"/>
          <w:b/>
          <w:bCs/>
          <w:sz w:val="22"/>
          <w:szCs w:val="22"/>
        </w:rPr>
        <w:t xml:space="preserve">Feature flag. </w:t>
      </w:r>
      <w:r>
        <w:rPr>
          <w:rFonts w:ascii="Calibri" w:cs="Calibri" w:eastAsia="Calibri" w:hAnsi="Calibri"/>
          <w:sz w:val="22"/>
          <w:szCs w:val="22"/>
        </w:rPr>
        <w:t xml:space="preserve">Un solo booleano (window.NEXUS_UI = 'sovereign' | 'legacy') controla la rama de render. Rollback inmediato si algo falla.</w:t>
      </w:r>
    </w:p>
    <w:p>
      <w:pPr>
        <w:pStyle w:val="ListParagraph"/>
        <w:numPr>
          <w:ilvl w:val="0"/>
          <w:numId w:val="2"/>
        </w:numPr>
        <w:spacing w:after="80" w:line="280"/>
      </w:pPr>
      <w:r>
        <w:rPr>
          <w:rFonts w:ascii="Calibri" w:cs="Calibri" w:eastAsia="Calibri" w:hAnsi="Calibri"/>
          <w:b/>
          <w:bCs/>
          <w:sz w:val="22"/>
          <w:szCs w:val="22"/>
        </w:rPr>
        <w:t xml:space="preserve">Doble test harness. </w:t>
      </w:r>
      <w:r>
        <w:rPr>
          <w:rFonts w:ascii="Calibri" w:cs="Calibri" w:eastAsia="Calibri" w:hAnsi="Calibri"/>
          <w:sz w:val="22"/>
          <w:szCs w:val="22"/>
        </w:rPr>
        <w:t xml:space="preserve">Simulacro y demo_evitar.js deben correr verdes en ambos modos antes de cada merge.</w:t>
      </w:r>
    </w:p>
    <w:p>
      <w:pPr>
        <w:pStyle w:val="ListParagraph"/>
        <w:numPr>
          <w:ilvl w:val="0"/>
          <w:numId w:val="2"/>
        </w:numPr>
        <w:spacing w:after="80" w:line="280"/>
      </w:pPr>
      <w:r>
        <w:rPr>
          <w:rFonts w:ascii="Calibri" w:cs="Calibri" w:eastAsia="Calibri" w:hAnsi="Calibri"/>
          <w:b/>
          <w:bCs/>
          <w:sz w:val="22"/>
          <w:szCs w:val="22"/>
        </w:rPr>
        <w:t xml:space="preserve">Infra pasiva primero, activación al final. </w:t>
      </w:r>
      <w:r>
        <w:rPr>
          <w:rFonts w:ascii="Calibri" w:cs="Calibri" w:eastAsia="Calibri" w:hAnsi="Calibri"/>
          <w:sz w:val="22"/>
          <w:szCs w:val="22"/>
        </w:rPr>
        <w:t xml:space="preserve">Patrón ya validado en Fase 3 (cache QA scaffolding).</w:t>
      </w:r>
    </w:p>
    <w:p>
      <w:pPr>
        <w:pStyle w:val="ListParagraph"/>
        <w:numPr>
          <w:ilvl w:val="0"/>
          <w:numId w:val="2"/>
        </w:numPr>
        <w:spacing w:after="80" w:line="280"/>
      </w:pPr>
      <w:r>
        <w:rPr>
          <w:rFonts w:ascii="Calibri" w:cs="Calibri" w:eastAsia="Calibri" w:hAnsi="Calibri"/>
          <w:b/>
          <w:bCs/>
          <w:sz w:val="22"/>
          <w:szCs w:val="22"/>
        </w:rPr>
        <w:t xml:space="preserve">Colisión cero de namespaces. </w:t>
      </w:r>
      <w:r>
        <w:rPr>
          <w:rFonts w:ascii="Calibri" w:cs="Calibri" w:eastAsia="Calibri" w:hAnsi="Calibri"/>
          <w:sz w:val="22"/>
          <w:szCs w:val="22"/>
        </w:rPr>
        <w:t xml:space="preserve">La UI Sovereign se migra bajo prefijo .sov-* para coexistir con las clases actuales (.sb-*, .pw-*) sin side effects cruzados.</w:t>
      </w:r>
    </w:p>
    <w:p>
      <w:pPr>
        <w:pStyle w:val="Heading2"/>
        <w:spacing w:after="140" w:before="280"/>
      </w:pPr>
      <w:r>
        <w:rPr>
          <w:rFonts w:ascii="Calibri" w:cs="Calibri" w:eastAsia="Calibri" w:hAnsi="Calibri"/>
          <w:b/>
          <w:bCs/>
          <w:color w:val="1F3A5F"/>
          <w:sz w:val="26"/>
          <w:szCs w:val="26"/>
        </w:rPr>
        <w:t xml:space="preserve">5.3 Sub-fases</w:t>
      </w:r>
    </w:p>
    <w:p>
      <w:pPr>
        <w:pStyle w:val="Heading3"/>
        <w:spacing w:after="120" w:before="220"/>
      </w:pPr>
      <w:r>
        <w:rPr>
          <w:rFonts w:ascii="Calibri" w:cs="Calibri" w:eastAsia="Calibri" w:hAnsi="Calibri"/>
          <w:b/>
          <w:bCs/>
          <w:sz w:val="23"/>
          <w:szCs w:val="23"/>
        </w:rPr>
        <w:t xml:space="preserve">Fase 4.0 — Audit arquitectónico (estimado: 2–3 h)</w:t>
      </w:r>
    </w:p>
    <w:p>
      <w:pPr>
        <w:pStyle w:val="ListParagraph"/>
        <w:numPr>
          <w:ilvl w:val="0"/>
          <w:numId w:val="2"/>
        </w:numPr>
        <w:spacing w:after="80" w:line="280"/>
      </w:pPr>
      <w:r>
        <w:rPr>
          <w:rFonts w:ascii="Calibri" w:cs="Calibri" w:eastAsia="Calibri" w:hAnsi="Calibri"/>
          <w:sz w:val="22"/>
          <w:szCs w:val="22"/>
        </w:rPr>
        <w:t xml:space="preserve">Diff estructural NEXUS-preview-sovereign.html vs index.html.</w:t>
      </w:r>
    </w:p>
    <w:p>
      <w:pPr>
        <w:pStyle w:val="ListParagraph"/>
        <w:numPr>
          <w:ilvl w:val="0"/>
          <w:numId w:val="2"/>
        </w:numPr>
        <w:spacing w:after="80" w:line="280"/>
      </w:pPr>
      <w:r>
        <w:rPr>
          <w:rFonts w:ascii="Calibri" w:cs="Calibri" w:eastAsia="Calibri" w:hAnsi="Calibri"/>
          <w:sz w:val="22"/>
          <w:szCs w:val="22"/>
        </w:rPr>
        <w:t xml:space="preserve">Clasificación de elementos en: visual-only (tokens de color, spacing, motion, tipografía), componentes nuevos (cicladora, modo pánico, ticker, manifiesto OS, toast) y componentes existentes con reskin (sidebar, main content, acordeones).</w:t>
      </w:r>
    </w:p>
    <w:p>
      <w:pPr>
        <w:pStyle w:val="ListParagraph"/>
        <w:numPr>
          <w:ilvl w:val="0"/>
          <w:numId w:val="2"/>
        </w:numPr>
        <w:spacing w:after="80" w:line="280"/>
      </w:pPr>
      <w:r>
        <w:rPr>
          <w:rFonts w:ascii="Calibri" w:cs="Calibri" w:eastAsia="Calibri" w:hAnsi="Calibri"/>
          <w:sz w:val="22"/>
          <w:szCs w:val="22"/>
        </w:rPr>
        <w:t xml:space="preserve">Inventario de conflictos de namespace: el preview usa clases genéricas (.chip, .dot, .bar, .accent, .card) que colisionan con utilidades de index.html. Documentar y planificar el renombre.</w:t>
      </w:r>
    </w:p>
    <w:p>
      <w:pPr>
        <w:pStyle w:val="ListParagraph"/>
        <w:numPr>
          <w:ilvl w:val="0"/>
          <w:numId w:val="2"/>
        </w:numPr>
        <w:spacing w:after="80" w:line="280"/>
      </w:pPr>
      <w:r>
        <w:rPr>
          <w:rFonts w:ascii="Calibri" w:cs="Calibri" w:eastAsia="Calibri" w:hAnsi="Calibri"/>
          <w:b/>
          <w:bCs/>
          <w:sz w:val="22"/>
          <w:szCs w:val="22"/>
        </w:rPr>
        <w:t xml:space="preserve">Entregable: </w:t>
      </w:r>
      <w:r>
        <w:rPr>
          <w:rFonts w:ascii="Calibri" w:cs="Calibri" w:eastAsia="Calibri" w:hAnsi="Calibri"/>
          <w:sz w:val="22"/>
          <w:szCs w:val="22"/>
        </w:rPr>
        <w:t xml:space="preserve">FASE4_AUDIT.md con matriz de migración componente-por-componente.</w:t>
      </w:r>
    </w:p>
    <w:p>
      <w:pPr>
        <w:pStyle w:val="Heading3"/>
        <w:spacing w:after="120" w:before="220"/>
      </w:pPr>
      <w:r>
        <w:rPr>
          <w:rFonts w:ascii="Calibri" w:cs="Calibri" w:eastAsia="Calibri" w:hAnsi="Calibri"/>
          <w:b/>
          <w:bCs/>
          <w:sz w:val="23"/>
          <w:szCs w:val="23"/>
        </w:rPr>
        <w:t xml:space="preserve">Fase 4.1 — Routing dual con feature flag (estimado: 4–6 h)</w:t>
      </w:r>
    </w:p>
    <w:p>
      <w:pPr>
        <w:pStyle w:val="ListParagraph"/>
        <w:numPr>
          <w:ilvl w:val="0"/>
          <w:numId w:val="2"/>
        </w:numPr>
        <w:spacing w:after="80" w:line="280"/>
      </w:pPr>
      <w:r>
        <w:rPr>
          <w:rFonts w:ascii="Calibri" w:cs="Calibri" w:eastAsia="Calibri" w:hAnsi="Calibri"/>
          <w:sz w:val="22"/>
          <w:szCs w:val="22"/>
        </w:rPr>
        <w:t xml:space="preserve">Servir ambas UIs sobre el mismo dominio: default → portal actual; ?ui=sovereign → preview en modo integrado (ya con matcher real, no mock).</w:t>
      </w:r>
    </w:p>
    <w:p>
      <w:pPr>
        <w:pStyle w:val="ListParagraph"/>
        <w:numPr>
          <w:ilvl w:val="0"/>
          <w:numId w:val="2"/>
        </w:numPr>
        <w:spacing w:after="80" w:line="280"/>
      </w:pPr>
      <w:r>
        <w:rPr>
          <w:rFonts w:ascii="Calibri" w:cs="Calibri" w:eastAsia="Calibri" w:hAnsi="Calibri"/>
          <w:sz w:val="22"/>
          <w:szCs w:val="22"/>
        </w:rPr>
        <w:t xml:space="preserve">El preview, al ser servido desde la ruta integrada, reemplaza sus datos mock por llamadas reales a nexus-ai.js y kb/knowledge_base.json.</w:t>
      </w:r>
    </w:p>
    <w:p>
      <w:pPr>
        <w:pStyle w:val="ListParagraph"/>
        <w:numPr>
          <w:ilvl w:val="0"/>
          <w:numId w:val="2"/>
        </w:numPr>
        <w:spacing w:after="80" w:line="280"/>
      </w:pPr>
      <w:r>
        <w:rPr>
          <w:rFonts w:ascii="Calibri" w:cs="Calibri" w:eastAsia="Calibri" w:hAnsi="Calibri"/>
          <w:sz w:val="22"/>
          <w:szCs w:val="22"/>
        </w:rPr>
        <w:t xml:space="preserve">Flag en localStorage + query param (?ui=sovereign setea cookie para sesión).</w:t>
      </w:r>
    </w:p>
    <w:p>
      <w:pPr>
        <w:pStyle w:val="ListParagraph"/>
        <w:numPr>
          <w:ilvl w:val="0"/>
          <w:numId w:val="2"/>
        </w:numPr>
        <w:spacing w:after="80" w:line="280"/>
      </w:pPr>
      <w:r>
        <w:rPr>
          <w:rFonts w:ascii="Calibri" w:cs="Calibri" w:eastAsia="Calibri" w:hAnsi="Calibri"/>
          <w:b/>
          <w:bCs/>
          <w:sz w:val="22"/>
          <w:szCs w:val="22"/>
        </w:rPr>
        <w:t xml:space="preserve">Entregable: </w:t>
      </w:r>
      <w:r>
        <w:rPr>
          <w:rFonts w:ascii="Calibri" w:cs="Calibri" w:eastAsia="Calibri" w:hAnsi="Calibri"/>
          <w:sz w:val="22"/>
          <w:szCs w:val="22"/>
        </w:rPr>
        <w:t xml:space="preserve">switch operativo, preview usando el matcher real con las mismas queries del DEMO_FLOW. Simulacro 10/10 verde en ambos modos.</w:t>
      </w:r>
    </w:p>
    <w:p>
      <w:pPr>
        <w:pStyle w:val="Heading3"/>
        <w:spacing w:after="120" w:before="220"/>
      </w:pPr>
      <w:r>
        <w:rPr>
          <w:rFonts w:ascii="Calibri" w:cs="Calibri" w:eastAsia="Calibri" w:hAnsi="Calibri"/>
          <w:b/>
          <w:bCs/>
          <w:sz w:val="23"/>
          <w:szCs w:val="23"/>
        </w:rPr>
        <w:t xml:space="preserve">Fase 4.2 — Extracción de design tokens (estimado: 3–4 h)</w:t>
      </w:r>
    </w:p>
    <w:p>
      <w:pPr>
        <w:pStyle w:val="ListParagraph"/>
        <w:numPr>
          <w:ilvl w:val="0"/>
          <w:numId w:val="2"/>
        </w:numPr>
        <w:spacing w:after="80" w:line="280"/>
      </w:pPr>
      <w:r>
        <w:rPr>
          <w:rFonts w:ascii="Calibri" w:cs="Calibri" w:eastAsia="Calibri" w:hAnsi="Calibri"/>
          <w:sz w:val="22"/>
          <w:szCs w:val="22"/>
        </w:rPr>
        <w:t xml:space="preserve">Crear nexus-sovereign-tokens.css con el palette completo, spacings, radii, shadows, motion durations, type scale del preview.</w:t>
      </w:r>
    </w:p>
    <w:p>
      <w:pPr>
        <w:pStyle w:val="ListParagraph"/>
        <w:numPr>
          <w:ilvl w:val="0"/>
          <w:numId w:val="2"/>
        </w:numPr>
        <w:spacing w:after="80" w:line="280"/>
      </w:pPr>
      <w:r>
        <w:rPr>
          <w:rFonts w:ascii="Calibri" w:cs="Calibri" w:eastAsia="Calibri" w:hAnsi="Calibri"/>
          <w:sz w:val="22"/>
          <w:szCs w:val="22"/>
        </w:rPr>
        <w:t xml:space="preserve">Crear nexus-sovereign-components.css con clases namespaced (.sov-chip, .sov-dot, .sov-card, .sov-cycle-*).</w:t>
      </w:r>
    </w:p>
    <w:p>
      <w:pPr>
        <w:pStyle w:val="ListParagraph"/>
        <w:numPr>
          <w:ilvl w:val="0"/>
          <w:numId w:val="2"/>
        </w:numPr>
        <w:spacing w:after="80" w:line="280"/>
      </w:pPr>
      <w:r>
        <w:rPr>
          <w:rFonts w:ascii="Calibri" w:cs="Calibri" w:eastAsia="Calibri" w:hAnsi="Calibri"/>
          <w:sz w:val="22"/>
          <w:szCs w:val="22"/>
        </w:rPr>
        <w:t xml:space="preserve">Cargar los archivos solo si NEXUS_UI === 'sovereign'.</w:t>
      </w:r>
    </w:p>
    <w:p>
      <w:pPr>
        <w:pStyle w:val="ListParagraph"/>
        <w:numPr>
          <w:ilvl w:val="0"/>
          <w:numId w:val="2"/>
        </w:numPr>
        <w:spacing w:after="80" w:line="280"/>
      </w:pPr>
      <w:r>
        <w:rPr>
          <w:rFonts w:ascii="Calibri" w:cs="Calibri" w:eastAsia="Calibri" w:hAnsi="Calibri"/>
          <w:sz w:val="22"/>
          <w:szCs w:val="22"/>
        </w:rPr>
        <w:t xml:space="preserve">Verificar que el portal legacy no se ve afectado (no hay filtraciones de especificidad).</w:t>
      </w:r>
    </w:p>
    <w:p>
      <w:pPr>
        <w:pStyle w:val="ListParagraph"/>
        <w:numPr>
          <w:ilvl w:val="0"/>
          <w:numId w:val="2"/>
        </w:numPr>
        <w:spacing w:after="80" w:line="280"/>
      </w:pPr>
      <w:r>
        <w:rPr>
          <w:rFonts w:ascii="Calibri" w:cs="Calibri" w:eastAsia="Calibri" w:hAnsi="Calibri"/>
          <w:b/>
          <w:bCs/>
          <w:sz w:val="22"/>
          <w:szCs w:val="22"/>
        </w:rPr>
        <w:t xml:space="preserve">Entregable: </w:t>
      </w:r>
      <w:r>
        <w:rPr>
          <w:rFonts w:ascii="Calibri" w:cs="Calibri" w:eastAsia="Calibri" w:hAnsi="Calibri"/>
          <w:sz w:val="22"/>
          <w:szCs w:val="22"/>
        </w:rPr>
        <w:t xml:space="preserve">stylesheet aislado, cargable bajo flag, sin regresión visual en modo legacy.</w:t>
      </w:r>
    </w:p>
    <w:p>
      <w:pPr>
        <w:pStyle w:val="Heading3"/>
        <w:spacing w:after="120" w:before="220"/>
      </w:pPr>
      <w:r>
        <w:rPr>
          <w:rFonts w:ascii="Calibri" w:cs="Calibri" w:eastAsia="Calibri" w:hAnsi="Calibri"/>
          <w:b/>
          <w:bCs/>
          <w:sz w:val="23"/>
          <w:szCs w:val="23"/>
        </w:rPr>
        <w:t xml:space="preserve">Fase 4.3 — Migración gradual componente-por-componente (estimado: 8–12 h)</w:t>
      </w:r>
    </w:p>
    <w:p>
      <w:pPr>
        <w:spacing w:after="120" w:line="300"/>
      </w:pPr>
      <w:r>
        <w:rPr>
          <w:rFonts w:ascii="Calibri" w:cs="Calibri" w:eastAsia="Calibri" w:hAnsi="Calibri"/>
          <w:sz w:val="22"/>
          <w:szCs w:val="22"/>
        </w:rPr>
        <w:t xml:space="preserve">Orden propuesto, de menor a mayor riesgo:</w:t>
      </w:r>
    </w:p>
    <w:p>
      <w:pPr>
        <w:pStyle w:val="ListParagraph"/>
        <w:numPr>
          <w:ilvl w:val="0"/>
          <w:numId w:val="2"/>
        </w:numPr>
        <w:spacing w:after="80" w:line="280"/>
      </w:pPr>
      <w:r>
        <w:rPr>
          <w:rFonts w:ascii="Calibri" w:cs="Calibri" w:eastAsia="Calibri" w:hAnsi="Calibri"/>
          <w:sz w:val="22"/>
          <w:szCs w:val="22"/>
        </w:rPr>
        <w:t xml:space="preserve">Chrome visual base — fondo, tipografía, grid overlay.</w:t>
      </w:r>
    </w:p>
    <w:p>
      <w:pPr>
        <w:pStyle w:val="ListParagraph"/>
        <w:numPr>
          <w:ilvl w:val="0"/>
          <w:numId w:val="2"/>
        </w:numPr>
        <w:spacing w:after="80" w:line="280"/>
      </w:pPr>
      <w:r>
        <w:rPr>
          <w:rFonts w:ascii="Calibri" w:cs="Calibri" w:eastAsia="Calibri" w:hAnsi="Calibri"/>
          <w:sz w:val="22"/>
          <w:szCs w:val="22"/>
        </w:rPr>
        <w:t xml:space="preserve">Sidebar — reskin con namespace .sov-sb-*, paridad funcional con la sidebar actual.</w:t>
      </w:r>
    </w:p>
    <w:p>
      <w:pPr>
        <w:pStyle w:val="ListParagraph"/>
        <w:numPr>
          <w:ilvl w:val="0"/>
          <w:numId w:val="2"/>
        </w:numPr>
        <w:spacing w:after="80" w:line="280"/>
      </w:pPr>
      <w:r>
        <w:rPr>
          <w:rFonts w:ascii="Calibri" w:cs="Calibri" w:eastAsia="Calibri" w:hAnsi="Calibri"/>
          <w:sz w:val="22"/>
          <w:szCs w:val="22"/>
        </w:rPr>
        <w:t xml:space="preserve">Main content container — acordeones de síntesis (Bloque A del NEXUS Content Standard) con estilos sovereign.</w:t>
      </w:r>
    </w:p>
    <w:p>
      <w:pPr>
        <w:pStyle w:val="ListParagraph"/>
        <w:numPr>
          <w:ilvl w:val="0"/>
          <w:numId w:val="2"/>
        </w:numPr>
        <w:spacing w:after="80" w:line="280"/>
      </w:pPr>
      <w:r>
        <w:rPr>
          <w:rFonts w:ascii="Calibri" w:cs="Calibri" w:eastAsia="Calibri" w:hAnsi="Calibri"/>
          <w:sz w:val="22"/>
          <w:szCs w:val="22"/>
        </w:rPr>
        <w:t xml:space="preserve">Toast de patrones detectados — nuevo componente, wire con el observer adaptativo existente.</w:t>
      </w:r>
    </w:p>
    <w:p>
      <w:pPr>
        <w:pStyle w:val="ListParagraph"/>
        <w:numPr>
          <w:ilvl w:val="0"/>
          <w:numId w:val="2"/>
        </w:numPr>
        <w:spacing w:after="80" w:line="280"/>
      </w:pPr>
      <w:r>
        <w:rPr>
          <w:rFonts w:ascii="Calibri" w:cs="Calibri" w:eastAsia="Calibri" w:hAnsi="Calibri"/>
          <w:sz w:val="22"/>
          <w:szCs w:val="22"/>
        </w:rPr>
        <w:t xml:space="preserve">Ticker de eventos — nuevo componente, wire con el log de eventos del engine.</w:t>
      </w:r>
    </w:p>
    <w:p>
      <w:pPr>
        <w:pStyle w:val="ListParagraph"/>
        <w:numPr>
          <w:ilvl w:val="0"/>
          <w:numId w:val="2"/>
        </w:numPr>
        <w:spacing w:after="80" w:line="280"/>
      </w:pPr>
      <w:r>
        <w:rPr>
          <w:rFonts w:ascii="Calibri" w:cs="Calibri" w:eastAsia="Calibri" w:hAnsi="Calibri"/>
          <w:sz w:val="22"/>
          <w:szCs w:val="22"/>
        </w:rPr>
        <w:t xml:space="preserve">Cicladora de ejercicios — nuevo componente, wire con nexus-quiz.js.</w:t>
      </w:r>
    </w:p>
    <w:p>
      <w:pPr>
        <w:pStyle w:val="ListParagraph"/>
        <w:numPr>
          <w:ilvl w:val="0"/>
          <w:numId w:val="2"/>
        </w:numPr>
        <w:spacing w:after="80" w:line="280"/>
      </w:pPr>
      <w:r>
        <w:rPr>
          <w:rFonts w:ascii="Calibri" w:cs="Calibri" w:eastAsia="Calibri" w:hAnsi="Calibri"/>
          <w:sz w:val="22"/>
          <w:szCs w:val="22"/>
        </w:rPr>
        <w:t xml:space="preserve">Modo pánico — nuevo componente, feature toggleable (8 s por pregunta, entrenamiento bajo presión).</w:t>
      </w:r>
    </w:p>
    <w:p>
      <w:pPr>
        <w:pStyle w:val="ListParagraph"/>
        <w:numPr>
          <w:ilvl w:val="0"/>
          <w:numId w:val="2"/>
        </w:numPr>
        <w:spacing w:after="80" w:line="280"/>
      </w:pPr>
      <w:r>
        <w:rPr>
          <w:rFonts w:ascii="Calibri" w:cs="Calibri" w:eastAsia="Calibri" w:hAnsi="Calibri"/>
          <w:sz w:val="22"/>
          <w:szCs w:val="22"/>
        </w:rPr>
        <w:t xml:space="preserve">Manifiesto NEXUS_OS — overlay modal, contenido editorial.</w:t>
      </w:r>
    </w:p>
    <w:p>
      <w:pPr>
        <w:spacing w:after="120" w:line="300"/>
      </w:pPr>
      <w:r>
        <w:rPr>
          <w:rFonts w:ascii="Calibri" w:cs="Calibri" w:eastAsia="Calibri" w:hAnsi="Calibri"/>
          <w:sz w:val="22"/>
          <w:szCs w:val="22"/>
        </w:rPr>
        <w:t xml:space="preserve">Cada componente: PR separado, paridad verificada con checklist, simulacro + demo_evitar verde antes del merge.</w:t>
      </w:r>
    </w:p>
    <w:p>
      <w:pPr>
        <w:pStyle w:val="Heading3"/>
        <w:spacing w:after="120" w:before="220"/>
      </w:pPr>
      <w:r>
        <w:rPr>
          <w:rFonts w:ascii="Calibri" w:cs="Calibri" w:eastAsia="Calibri" w:hAnsi="Calibri"/>
          <w:b/>
          <w:bCs/>
          <w:sz w:val="23"/>
          <w:szCs w:val="23"/>
        </w:rPr>
        <w:t xml:space="preserve">Fase 4.4 — Switch de default (decisión separada, post-4.3)</w:t>
      </w:r>
    </w:p>
    <w:p>
      <w:pPr>
        <w:pStyle w:val="ListParagraph"/>
        <w:numPr>
          <w:ilvl w:val="0"/>
          <w:numId w:val="2"/>
        </w:numPr>
        <w:spacing w:after="80" w:line="280"/>
      </w:pPr>
      <w:r>
        <w:rPr>
          <w:rFonts w:ascii="Calibri" w:cs="Calibri" w:eastAsia="Calibri" w:hAnsi="Calibri"/>
          <w:sz w:val="22"/>
          <w:szCs w:val="22"/>
        </w:rPr>
        <w:t xml:space="preserve">Solo cuando todos los componentes críticos estén migrados, tests verdes, KB intacta.</w:t>
      </w:r>
    </w:p>
    <w:p>
      <w:pPr>
        <w:pStyle w:val="ListParagraph"/>
        <w:numPr>
          <w:ilvl w:val="0"/>
          <w:numId w:val="2"/>
        </w:numPr>
        <w:spacing w:after="80" w:line="280"/>
      </w:pPr>
      <w:r>
        <w:rPr>
          <w:rFonts w:ascii="Calibri" w:cs="Calibri" w:eastAsia="Calibri" w:hAnsi="Calibri"/>
          <w:sz w:val="22"/>
          <w:szCs w:val="22"/>
        </w:rPr>
        <w:t xml:space="preserve">Flag flip: NEXUS_UI = 'sovereign' como default. Modo legacy accesible con ?ui=legacy durante al menos un ciclo académico.</w:t>
      </w:r>
    </w:p>
    <w:p>
      <w:pPr>
        <w:pStyle w:val="ListParagraph"/>
        <w:numPr>
          <w:ilvl w:val="0"/>
          <w:numId w:val="2"/>
        </w:numPr>
        <w:spacing w:after="80" w:line="280"/>
      </w:pPr>
      <w:r>
        <w:rPr>
          <w:rFonts w:ascii="Calibri" w:cs="Calibri" w:eastAsia="Calibri" w:hAnsi="Calibri"/>
          <w:sz w:val="22"/>
          <w:szCs w:val="22"/>
        </w:rPr>
        <w:t xml:space="preserve">Requiere aprobación explícita (auditor / responsable técnico).</w:t>
      </w:r>
    </w:p>
    <w:p>
      <w:pPr>
        <w:pStyle w:val="Heading3"/>
        <w:spacing w:after="120" w:before="220"/>
      </w:pPr>
      <w:r>
        <w:rPr>
          <w:rFonts w:ascii="Calibri" w:cs="Calibri" w:eastAsia="Calibri" w:hAnsi="Calibri"/>
          <w:b/>
          <w:bCs/>
          <w:sz w:val="23"/>
          <w:szCs w:val="23"/>
        </w:rPr>
        <w:t xml:space="preserve">Fase 4.5 — Deprecación de legacy UI</w:t>
      </w:r>
    </w:p>
    <w:p>
      <w:pPr>
        <w:pStyle w:val="ListParagraph"/>
        <w:numPr>
          <w:ilvl w:val="0"/>
          <w:numId w:val="2"/>
        </w:numPr>
        <w:spacing w:after="80" w:line="280"/>
      </w:pPr>
      <w:r>
        <w:rPr>
          <w:rFonts w:ascii="Calibri" w:cs="Calibri" w:eastAsia="Calibri" w:hAnsi="Calibri"/>
          <w:sz w:val="22"/>
          <w:szCs w:val="22"/>
        </w:rPr>
        <w:t xml:space="preserve">Cuando la telemetría indique uso residual del flag legacy (&lt;5 % de sesiones durante 14 días).</w:t>
      </w:r>
    </w:p>
    <w:p>
      <w:pPr>
        <w:pStyle w:val="ListParagraph"/>
        <w:numPr>
          <w:ilvl w:val="0"/>
          <w:numId w:val="2"/>
        </w:numPr>
        <w:spacing w:after="80" w:line="280"/>
      </w:pPr>
      <w:r>
        <w:rPr>
          <w:rFonts w:ascii="Calibri" w:cs="Calibri" w:eastAsia="Calibri" w:hAnsi="Calibri"/>
          <w:sz w:val="22"/>
          <w:szCs w:val="22"/>
        </w:rPr>
        <w:t xml:space="preserve">Consolidar index.html, bumpear cache del service worker, limpiar dead code.</w:t>
      </w:r>
    </w:p>
    <w:p>
      <w:pPr>
        <w:pStyle w:val="Heading2"/>
        <w:spacing w:after="140" w:before="280"/>
      </w:pPr>
      <w:r>
        <w:rPr>
          <w:rFonts w:ascii="Calibri" w:cs="Calibri" w:eastAsia="Calibri" w:hAnsi="Calibri"/>
          <w:b/>
          <w:bCs/>
          <w:color w:val="1F3A5F"/>
          <w:sz w:val="26"/>
          <w:szCs w:val="26"/>
        </w:rPr>
        <w:t xml:space="preserve">5.4 Safety net transversal</w:t>
      </w:r>
    </w:p>
    <w:p>
      <w:pPr>
        <w:pStyle w:val="ListParagraph"/>
        <w:numPr>
          <w:ilvl w:val="0"/>
          <w:numId w:val="2"/>
        </w:numPr>
        <w:spacing w:after="80" w:line="280"/>
      </w:pPr>
      <w:r>
        <w:rPr>
          <w:rFonts w:ascii="Calibri" w:cs="Calibri" w:eastAsia="Calibri" w:hAnsi="Calibri"/>
          <w:b/>
          <w:bCs/>
          <w:sz w:val="22"/>
          <w:szCs w:val="22"/>
        </w:rPr>
        <w:t xml:space="preserve">Checkpoint funcional antes de cada merge: </w:t>
      </w:r>
      <w:r>
        <w:rPr>
          <w:rFonts w:ascii="Calibri" w:cs="Calibri" w:eastAsia="Calibri" w:hAnsi="Calibri"/>
          <w:sz w:val="22"/>
          <w:szCs w:val="22"/>
        </w:rPr>
        <w:t xml:space="preserve">python pipeline/validator.py --self-test + node scripts/build.js + python scripts/verify_deploy.py --local + node demo_simulacro.js. Los cuatro deben ser verdes.</w:t>
      </w:r>
    </w:p>
    <w:p>
      <w:pPr>
        <w:pStyle w:val="ListParagraph"/>
        <w:numPr>
          <w:ilvl w:val="0"/>
          <w:numId w:val="2"/>
        </w:numPr>
        <w:spacing w:after="80" w:line="280"/>
      </w:pPr>
      <w:r>
        <w:rPr>
          <w:rFonts w:ascii="Calibri" w:cs="Calibri" w:eastAsia="Calibri" w:hAnsi="Calibri"/>
          <w:b/>
          <w:bCs/>
          <w:sz w:val="22"/>
          <w:szCs w:val="22"/>
        </w:rPr>
        <w:t xml:space="preserve">Rollback de un comando: </w:t>
      </w:r>
      <w:r>
        <w:rPr>
          <w:rFonts w:ascii="Calibri" w:cs="Calibri" w:eastAsia="Calibri" w:hAnsi="Calibri"/>
          <w:sz w:val="22"/>
          <w:szCs w:val="22"/>
        </w:rPr>
        <w:t xml:space="preserve">setear window.NEXUS_UI = 'legacy' en consola o flip de la flag en nexus-ai-config.json.</w:t>
      </w:r>
    </w:p>
    <w:p>
      <w:pPr>
        <w:pStyle w:val="ListParagraph"/>
        <w:numPr>
          <w:ilvl w:val="0"/>
          <w:numId w:val="2"/>
        </w:numPr>
        <w:spacing w:after="80" w:line="280"/>
      </w:pPr>
      <w:r>
        <w:rPr>
          <w:rFonts w:ascii="Calibri" w:cs="Calibri" w:eastAsia="Calibri" w:hAnsi="Calibri"/>
          <w:b/>
          <w:bCs/>
          <w:sz w:val="22"/>
          <w:szCs w:val="22"/>
        </w:rPr>
        <w:t xml:space="preserve">Monitoring pre-default: </w:t>
      </w:r>
      <w:r>
        <w:rPr>
          <w:rFonts w:ascii="Calibri" w:cs="Calibri" w:eastAsia="Calibri" w:hAnsi="Calibri"/>
          <w:sz w:val="22"/>
          <w:szCs w:val="22"/>
        </w:rPr>
        <w:t xml:space="preserve">48 h de telemetría con label ui_mode=sovereign antes de considerar el flip de la Fase 4.4. Métricas de referencia: tiempo al primer match, tasa de fallback LLM, latencia p95.</w:t>
      </w:r>
    </w:p>
    <w:p>
      <w:pPr>
        <w:pStyle w:val="ListParagraph"/>
        <w:numPr>
          <w:ilvl w:val="0"/>
          <w:numId w:val="2"/>
        </w:numPr>
        <w:spacing w:after="80" w:line="280"/>
      </w:pPr>
      <w:r>
        <w:rPr>
          <w:rFonts w:ascii="Calibri" w:cs="Calibri" w:eastAsia="Calibri" w:hAnsi="Calibri"/>
          <w:b/>
          <w:bCs/>
          <w:sz w:val="22"/>
          <w:szCs w:val="22"/>
        </w:rPr>
        <w:t xml:space="preserve">Estanqueidad cross-fase: </w:t>
      </w:r>
      <w:r>
        <w:rPr>
          <w:rFonts w:ascii="Calibri" w:cs="Calibri" w:eastAsia="Calibri" w:hAnsi="Calibri"/>
          <w:sz w:val="22"/>
          <w:szCs w:val="22"/>
        </w:rPr>
        <w:t xml:space="preserve">la Fase 4 NO toca pipeline/, kb/, scripts/audit_hallucinations.py. Un bug en 4.x jamás puede contaminar la KB.</w:t>
      </w:r>
    </w:p>
    <w:p>
      <w:pPr>
        <w:pStyle w:val="Heading2"/>
        <w:spacing w:after="140" w:before="280"/>
      </w:pPr>
      <w:r>
        <w:rPr>
          <w:rFonts w:ascii="Calibri" w:cs="Calibri" w:eastAsia="Calibri" w:hAnsi="Calibri"/>
          <w:b/>
          <w:bCs/>
          <w:color w:val="1F3A5F"/>
          <w:sz w:val="26"/>
          <w:szCs w:val="26"/>
        </w:rPr>
        <w:t xml:space="preserve">5.5 Estimación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500"/>
        <w:gridCol w:w="2060"/>
      </w:tblGrid>
      <w:tr>
        <w:tc>
          <w:tcPr>
            <w:tcW w:type="dxa" w:w="48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Sub-fase</w:t>
            </w:r>
          </w:p>
        </w:tc>
        <w:tc>
          <w:tcPr>
            <w:tcW w:type="dxa" w:w="25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Horas estimadas</w:t>
            </w:r>
          </w:p>
        </w:tc>
        <w:tc>
          <w:tcPr>
            <w:tcW w:type="dxa" w:w="206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Riesgo</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4.0 Audit arquitectónico</w:t>
            </w:r>
          </w:p>
        </w:tc>
        <w:tc>
          <w:tcPr>
            <w:tcW w:type="dxa" w:w="2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2–3</w:t>
            </w:r>
          </w:p>
        </w:tc>
        <w:tc>
          <w:tcPr>
            <w:tcW w:type="dxa" w:w="20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bajo</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4.1 Routing dual + flag</w:t>
            </w:r>
          </w:p>
        </w:tc>
        <w:tc>
          <w:tcPr>
            <w:tcW w:type="dxa" w:w="2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4–6</w:t>
            </w:r>
          </w:p>
        </w:tc>
        <w:tc>
          <w:tcPr>
            <w:tcW w:type="dxa" w:w="20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medio</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4.2 Design tokens</w:t>
            </w:r>
          </w:p>
        </w:tc>
        <w:tc>
          <w:tcPr>
            <w:tcW w:type="dxa" w:w="2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3–4</w:t>
            </w:r>
          </w:p>
        </w:tc>
        <w:tc>
          <w:tcPr>
            <w:tcW w:type="dxa" w:w="20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bajo</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4.3 Migración gradual</w:t>
            </w:r>
          </w:p>
        </w:tc>
        <w:tc>
          <w:tcPr>
            <w:tcW w:type="dxa" w:w="2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8–12</w:t>
            </w:r>
          </w:p>
        </w:tc>
        <w:tc>
          <w:tcPr>
            <w:tcW w:type="dxa" w:w="20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medio</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4.4 Switch default</w:t>
            </w:r>
          </w:p>
        </w:tc>
        <w:tc>
          <w:tcPr>
            <w:tcW w:type="dxa" w:w="2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1</w:t>
            </w:r>
          </w:p>
        </w:tc>
        <w:tc>
          <w:tcPr>
            <w:tcW w:type="dxa" w:w="20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medio-alto</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4.5 Deprecación legacy</w:t>
            </w:r>
          </w:p>
        </w:tc>
        <w:tc>
          <w:tcPr>
            <w:tcW w:type="dxa" w:w="2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2–3</w:t>
            </w:r>
          </w:p>
        </w:tc>
        <w:tc>
          <w:tcPr>
            <w:tcW w:type="dxa" w:w="20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bajo</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Total</w:t>
            </w:r>
          </w:p>
        </w:tc>
        <w:tc>
          <w:tcPr>
            <w:tcW w:type="dxa" w:w="25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20–29 h</w:t>
            </w:r>
          </w:p>
        </w:tc>
        <w:tc>
          <w:tcPr>
            <w:tcW w:type="dxa" w:w="20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Horizonte realista: 2–3 semanas de esfuerzo part-time, dado que se intercala con Fase 3 (OCR Itinerario I) y mantenimiento ordinario del portal.</w:t>
      </w:r>
    </w:p>
    <w:p>
      <w:pPr>
        <w:pStyle w:val="Heading1"/>
        <w:spacing w:after="180" w:before="360"/>
      </w:pPr>
      <w:r>
        <w:rPr>
          <w:rFonts w:ascii="Calibri" w:cs="Calibri" w:eastAsia="Calibri" w:hAnsi="Calibri"/>
          <w:b/>
          <w:bCs/>
          <w:color w:val="1F3A5F"/>
          <w:sz w:val="32"/>
          <w:szCs w:val="32"/>
        </w:rPr>
        <w:t xml:space="preserve">6. Cambios técnicos adicionales detectados</w:t>
      </w:r>
    </w:p>
    <w:p>
      <w:pPr>
        <w:spacing w:after="120" w:line="300"/>
      </w:pPr>
      <w:r>
        <w:rPr>
          <w:rFonts w:ascii="Calibri" w:cs="Calibri" w:eastAsia="Calibri" w:hAnsi="Calibri"/>
          <w:sz w:val="22"/>
          <w:szCs w:val="22"/>
        </w:rPr>
        <w:t xml:space="preserve">Durante el hardening de Fase 2.5 surgieron observaciones que no son estrictamente parte del roadmap pero que cabe documentar.</w:t>
      </w:r>
    </w:p>
    <w:p>
      <w:pPr>
        <w:pStyle w:val="Heading3"/>
        <w:spacing w:after="120" w:before="220"/>
      </w:pPr>
      <w:r>
        <w:rPr>
          <w:rFonts w:ascii="Calibri" w:cs="Calibri" w:eastAsia="Calibri" w:hAnsi="Calibri"/>
          <w:b/>
          <w:bCs/>
          <w:sz w:val="23"/>
          <w:szCs w:val="23"/>
        </w:rPr>
        <w:t xml:space="preserve">6.1 Duplicación de constantes audit ⇄ validator (refactor menor)</w:t>
      </w:r>
    </w:p>
    <w:p>
      <w:pPr>
        <w:spacing w:after="120" w:line="300"/>
      </w:pPr>
      <w:r>
        <w:rPr>
          <w:rFonts w:ascii="Calibri" w:cs="Calibri" w:eastAsia="Calibri" w:hAnsi="Calibri"/>
          <w:sz w:val="22"/>
          <w:szCs w:val="22"/>
        </w:rPr>
        <w:t xml:space="preserve">scripts/audit_hallucinations.py y pipeline/validator.py comparten hoy por copia: COMMON_TERMS (S5 / H7), sufijos canónicos de ID (_id_root), y función Levenshtein.</w:t>
      </w:r>
    </w:p>
    <w:p>
      <w:pPr>
        <w:spacing w:after="120" w:line="300"/>
      </w:pPr>
      <w:r>
        <w:rPr>
          <w:rFonts w:ascii="Calibri" w:cs="Calibri" w:eastAsia="Calibri" w:hAnsi="Calibri"/>
          <w:b/>
          <w:bCs/>
          <w:sz w:val="22"/>
          <w:szCs w:val="22"/>
        </w:rPr>
        <w:t xml:space="preserve">Propuesta: </w:t>
      </w:r>
      <w:r>
        <w:rPr>
          <w:rFonts w:ascii="Calibri" w:cs="Calibri" w:eastAsia="Calibri" w:hAnsi="Calibri"/>
          <w:sz w:val="22"/>
          <w:szCs w:val="22"/>
        </w:rPr>
        <w:t xml:space="preserve">mover a pipeline/config.py (o a pipeline/_shared.py) e importar desde ambos lados. Beneficio: imposible que diverjan al evolucionar. Costo: 30 min. Prioridad: media, recomendable antes de Fase 4.</w:t>
      </w:r>
    </w:p>
    <w:p>
      <w:pPr>
        <w:pStyle w:val="Heading3"/>
        <w:spacing w:after="120" w:before="220"/>
      </w:pPr>
      <w:r>
        <w:rPr>
          <w:rFonts w:ascii="Calibri" w:cs="Calibri" w:eastAsia="Calibri" w:hAnsi="Calibri"/>
          <w:b/>
          <w:bCs/>
          <w:sz w:val="23"/>
          <w:szCs w:val="23"/>
        </w:rPr>
        <w:t xml:space="preserve">6.2 Las 21 entries BAJA pendientes (code-smell)</w:t>
      </w:r>
    </w:p>
    <w:p>
      <w:pPr>
        <w:spacing w:after="120" w:line="300"/>
      </w:pPr>
      <w:r>
        <w:rPr>
          <w:rFonts w:ascii="Calibri" w:cs="Calibri" w:eastAsia="Calibri" w:hAnsi="Calibri"/>
          <w:sz w:val="22"/>
          <w:szCs w:val="22"/>
        </w:rPr>
        <w:t xml:space="preserve">Contenido correcto pero forma mejorable (IDs genéricos _concepto_2, patterns todos formulaicos). No afectan la experiencia actual.</w:t>
      </w:r>
    </w:p>
    <w:p>
      <w:pPr>
        <w:spacing w:after="120" w:line="300"/>
      </w:pPr>
      <w:r>
        <w:rPr>
          <w:rFonts w:ascii="Calibri" w:cs="Calibri" w:eastAsia="Calibri" w:hAnsi="Calibri"/>
          <w:b/>
          <w:bCs/>
          <w:sz w:val="22"/>
          <w:szCs w:val="22"/>
        </w:rPr>
        <w:t xml:space="preserve">Propuesta post-demo: </w:t>
      </w:r>
      <w:r>
        <w:rPr>
          <w:rFonts w:ascii="Calibri" w:cs="Calibri" w:eastAsia="Calibri" w:hAnsi="Calibri"/>
          <w:sz w:val="22"/>
          <w:szCs w:val="22"/>
        </w:rPr>
        <w:t xml:space="preserve">script scripts/regenerate_baja.py que reprocese solo esas 21 con el validator en modo estricto — el validator rechazará lo malo, quedarán los drafts buenos. Estimado: 2 h. Prioridad: baja, sin bloqueo para Fases 3 y 4.</w:t>
      </w:r>
    </w:p>
    <w:p>
      <w:pPr>
        <w:pStyle w:val="Heading3"/>
        <w:spacing w:after="120" w:before="220"/>
      </w:pPr>
      <w:r>
        <w:rPr>
          <w:rFonts w:ascii="Calibri" w:cs="Calibri" w:eastAsia="Calibri" w:hAnsi="Calibri"/>
          <w:b/>
          <w:bCs/>
          <w:sz w:val="23"/>
          <w:szCs w:val="23"/>
        </w:rPr>
        <w:t xml:space="preserve">6.3 Script pipeline/clean_ocr.py referenciado pero no creado</w:t>
      </w:r>
    </w:p>
    <w:p>
      <w:pPr>
        <w:spacing w:after="120" w:line="300"/>
      </w:pPr>
      <w:r>
        <w:rPr>
          <w:rFonts w:ascii="Calibri" w:cs="Calibri" w:eastAsia="Calibri" w:hAnsi="Calibri"/>
          <w:sz w:val="22"/>
          <w:szCs w:val="22"/>
        </w:rPr>
        <w:t xml:space="preserve">En OCR_SCOUTING.md se menciona un paso de limpieza post-OCR (reunir líneas partidas, restaurar símbolo §, remover headers repetidos). Script de ~50 líneas que debe crearse antes de ejecutar la Fase 3. Prioridad: alta (bloquea OCR Itinerario I).</w:t>
      </w:r>
    </w:p>
    <w:p>
      <w:pPr>
        <w:pStyle w:val="Heading3"/>
        <w:spacing w:after="120" w:before="220"/>
      </w:pPr>
      <w:r>
        <w:rPr>
          <w:rFonts w:ascii="Calibri" w:cs="Calibri" w:eastAsia="Calibri" w:hAnsi="Calibri"/>
          <w:b/>
          <w:bCs/>
          <w:sz w:val="23"/>
          <w:szCs w:val="23"/>
        </w:rPr>
        <w:t xml:space="preserve">6.4 Accessibility audit del preview Sovereign</w:t>
      </w:r>
    </w:p>
    <w:p>
      <w:pPr>
        <w:spacing w:after="120" w:line="300"/>
      </w:pPr>
      <w:r>
        <w:rPr>
          <w:rFonts w:ascii="Calibri" w:cs="Calibri" w:eastAsia="Calibri" w:hAnsi="Calibri"/>
          <w:sz w:val="22"/>
          <w:szCs w:val="22"/>
        </w:rPr>
        <w:t xml:space="preserve">El preview tiene ARIA labels en los modals pero no se verificaron focus traps ni navegación con teclado completa.</w:t>
      </w:r>
    </w:p>
    <w:p>
      <w:pPr>
        <w:spacing w:after="120" w:line="300"/>
      </w:pPr>
      <w:r>
        <w:rPr>
          <w:rFonts w:ascii="Calibri" w:cs="Calibri" w:eastAsia="Calibri" w:hAnsi="Calibri"/>
          <w:b/>
          <w:bCs/>
          <w:sz w:val="22"/>
          <w:szCs w:val="22"/>
        </w:rPr>
        <w:t xml:space="preserve">Propuesta: </w:t>
      </w:r>
      <w:r>
        <w:rPr>
          <w:rFonts w:ascii="Calibri" w:cs="Calibri" w:eastAsia="Calibri" w:hAnsi="Calibri"/>
          <w:sz w:val="22"/>
          <w:szCs w:val="22"/>
        </w:rPr>
        <w:t xml:space="preserve">incluir en la Fase 4.0 (audit arquitectónico) una revisión axe-core sobre el preview antes de migrar. Prioridad: alta (requisito para deploy institucional).</w:t>
      </w:r>
    </w:p>
    <w:p>
      <w:pPr>
        <w:pStyle w:val="Heading3"/>
        <w:spacing w:after="120" w:before="220"/>
      </w:pPr>
      <w:r>
        <w:rPr>
          <w:rFonts w:ascii="Calibri" w:cs="Calibri" w:eastAsia="Calibri" w:hAnsi="Calibri"/>
          <w:b/>
          <w:bCs/>
          <w:sz w:val="23"/>
          <w:szCs w:val="23"/>
        </w:rPr>
        <w:t xml:space="preserve">6.5 Ruido de git status en mount del sandbox (no afecta producción)</w:t>
      </w:r>
    </w:p>
    <w:p>
      <w:pPr>
        <w:spacing w:after="120" w:line="300"/>
      </w:pPr>
      <w:r>
        <w:rPr>
          <w:rFonts w:ascii="Calibri" w:cs="Calibri" w:eastAsia="Calibri" w:hAnsi="Calibri"/>
          <w:sz w:val="22"/>
          <w:szCs w:val="22"/>
        </w:rPr>
        <w:t xml:space="preserve">El entorno de desarrollo remoto muestra todos los archivos del repositorio como "deleted + untracked" simultáneamente debido al symlink behavior del mount sobre Windows. No hay drift real en el repo; los commits y pushes se hacen desde la terminal nativa del responsable técnico. Documentado en la recipe de commit.</w:t>
      </w:r>
    </w:p>
    <w:p>
      <w:pPr>
        <w:pStyle w:val="Heading3"/>
        <w:spacing w:after="120" w:before="220"/>
      </w:pPr>
      <w:r>
        <w:rPr>
          <w:rFonts w:ascii="Calibri" w:cs="Calibri" w:eastAsia="Calibri" w:hAnsi="Calibri"/>
          <w:b/>
          <w:bCs/>
          <w:sz w:val="23"/>
          <w:szCs w:val="23"/>
        </w:rPr>
        <w:t xml:space="preserve">6.6 Extensión de EXPECTED_AUTHORS_BY_MATERIA_UNIDAD con futuros autores</w:t>
      </w:r>
    </w:p>
    <w:p>
      <w:pPr>
        <w:spacing w:after="120" w:line="300"/>
      </w:pPr>
      <w:r>
        <w:rPr>
          <w:rFonts w:ascii="Calibri" w:cs="Calibri" w:eastAsia="Calibri" w:hAnsi="Calibri"/>
          <w:sz w:val="22"/>
          <w:szCs w:val="22"/>
        </w:rPr>
        <w:t xml:space="preserve">El mapping actual cubre Bourdieu (Sociales U3) y Chiavenato (Admin U2 / U6). Al ingestar Foucault, Fisher, Fraser u otros, extender el diccionario (1 línea por autor).</w:t>
      </w:r>
    </w:p>
    <w:p>
      <w:pPr>
        <w:pStyle w:val="Heading1"/>
        <w:spacing w:after="180" w:before="360"/>
      </w:pPr>
      <w:r>
        <w:rPr>
          <w:rFonts w:ascii="Calibri" w:cs="Calibri" w:eastAsia="Calibri" w:hAnsi="Calibri"/>
          <w:b/>
          <w:bCs/>
          <w:color w:val="1F3A5F"/>
          <w:sz w:val="32"/>
          <w:szCs w:val="32"/>
        </w:rPr>
        <w:t xml:space="preserve">7. Anexos</w:t>
      </w:r>
    </w:p>
    <w:p>
      <w:pPr>
        <w:pStyle w:val="Heading2"/>
        <w:spacing w:after="140" w:before="280"/>
      </w:pPr>
      <w:r>
        <w:rPr>
          <w:rFonts w:ascii="Calibri" w:cs="Calibri" w:eastAsia="Calibri" w:hAnsi="Calibri"/>
          <w:b/>
          <w:bCs/>
          <w:color w:val="1F3A5F"/>
          <w:sz w:val="26"/>
          <w:szCs w:val="26"/>
        </w:rPr>
        <w:t xml:space="preserve">Anexo A — Comandos de verificación reproducibles</w:t>
      </w:r>
    </w:p>
    <w:p>
      <w:pPr>
        <w:pBdr>
          <w:left w:val="single" w:color="1F3A5F" w:sz="18" w:space="8"/>
        </w:pBdr>
        <w:shd w:fill="F5F7FA" w:val="clear"/>
        <w:spacing w:after="80" w:before="80"/>
        <w:ind w:left="280"/>
      </w:pPr>
      <w:r>
        <w:rPr>
          <w:rFonts w:ascii="Consolas" w:cs="Consolas" w:eastAsia="Consolas" w:hAnsi="Consolas"/>
          <w:sz w:val="20"/>
          <w:szCs w:val="20"/>
        </w:rPr>
        <w:t xml:space="preserve"># 1. Self-test del validator (Fase 2.5)</w:t>
      </w:r>
    </w:p>
    <w:p>
      <w:pPr>
        <w:pBdr>
          <w:left w:val="single" w:color="1F3A5F" w:sz="18" w:space="8"/>
        </w:pBdr>
        <w:shd w:fill="F5F7FA" w:val="clear"/>
        <w:spacing w:after="80" w:before="80"/>
        <w:ind w:left="280"/>
      </w:pPr>
      <w:r>
        <w:rPr>
          <w:rFonts w:ascii="Consolas" w:cs="Consolas" w:eastAsia="Consolas" w:hAnsi="Consolas"/>
          <w:sz w:val="20"/>
          <w:szCs w:val="20"/>
        </w:rPr>
        <w:t xml:space="preserve">python pipeline/validator.py --self-test</w:t>
      </w:r>
    </w:p>
    <w:p>
      <w:pPr>
        <w:pBdr>
          <w:left w:val="single" w:color="1F3A5F" w:sz="18" w:space="8"/>
        </w:pBdr>
        <w:shd w:fill="F5F7FA" w:val="clear"/>
        <w:spacing w:after="80" w:before="80"/>
        <w:ind w:left="280"/>
      </w:pPr>
      <w:r>
        <w:rPr>
          <w:rFonts w:ascii="Consolas" w:cs="Consolas" w:eastAsia="Consolas" w:hAnsi="Consolas"/>
          <w:sz w:val="20"/>
          <w:szCs w:val="20"/>
        </w:rPr>
        <w:t xml:space="preserve">#   → [validator self-test] ✓ todos los checks S1-S5 + helpers pasaron</w:t>
      </w:r>
    </w:p>
    <w:p>
      <w:pPr>
        <w:spacing w:after="120" w:line="300"/>
      </w:pPr>
      <w:r>
        <w:rPr>
          <w:rFonts w:ascii="Calibri" w:cs="Calibri" w:eastAsia="Calibri" w:hAnsi="Calibri"/>
          <w:sz w:val="22"/>
          <w:szCs w:val="22"/>
        </w:rPr>
        <w:t xml:space="preserve"/>
      </w:r>
    </w:p>
    <w:p>
      <w:pPr>
        <w:pBdr>
          <w:left w:val="single" w:color="1F3A5F" w:sz="18" w:space="8"/>
        </w:pBdr>
        <w:shd w:fill="F5F7FA" w:val="clear"/>
        <w:spacing w:after="80" w:before="80"/>
        <w:ind w:left="280"/>
      </w:pPr>
      <w:r>
        <w:rPr>
          <w:rFonts w:ascii="Consolas" w:cs="Consolas" w:eastAsia="Consolas" w:hAnsi="Consolas"/>
          <w:sz w:val="20"/>
          <w:szCs w:val="20"/>
        </w:rPr>
        <w:t xml:space="preserve"># 2. Audit completo de la KB</w:t>
      </w:r>
    </w:p>
    <w:p>
      <w:pPr>
        <w:pBdr>
          <w:left w:val="single" w:color="1F3A5F" w:sz="18" w:space="8"/>
        </w:pBdr>
        <w:shd w:fill="F5F7FA" w:val="clear"/>
        <w:spacing w:after="80" w:before="80"/>
        <w:ind w:left="280"/>
      </w:pPr>
      <w:r>
        <w:rPr>
          <w:rFonts w:ascii="Consolas" w:cs="Consolas" w:eastAsia="Consolas" w:hAnsi="Consolas"/>
          <w:sz w:val="20"/>
          <w:szCs w:val="20"/>
        </w:rPr>
        <w:t xml:space="preserve">python scripts/audit_hallucinations.py \</w:t>
      </w:r>
    </w:p>
    <w:p>
      <w:pPr>
        <w:pBdr>
          <w:left w:val="single" w:color="1F3A5F" w:sz="18" w:space="8"/>
        </w:pBdr>
        <w:shd w:fill="F5F7FA" w:val="clear"/>
        <w:spacing w:after="80" w:before="80"/>
        <w:ind w:left="280"/>
      </w:pPr>
      <w:r>
        <w:rPr>
          <w:rFonts w:ascii="Consolas" w:cs="Consolas" w:eastAsia="Consolas" w:hAnsi="Consolas"/>
          <w:sz w:val="20"/>
          <w:szCs w:val="20"/>
        </w:rPr>
        <w:t xml:space="preserve">    --exclude-neutralized --exclude-whitelisted \</w:t>
      </w:r>
    </w:p>
    <w:p>
      <w:pPr>
        <w:pBdr>
          <w:left w:val="single" w:color="1F3A5F" w:sz="18" w:space="8"/>
        </w:pBdr>
        <w:shd w:fill="F5F7FA" w:val="clear"/>
        <w:spacing w:after="80" w:before="80"/>
        <w:ind w:left="280"/>
      </w:pPr>
      <w:r>
        <w:rPr>
          <w:rFonts w:ascii="Consolas" w:cs="Consolas" w:eastAsia="Consolas" w:hAnsi="Consolas"/>
          <w:sz w:val="20"/>
          <w:szCs w:val="20"/>
        </w:rPr>
        <w:t xml:space="preserve">    --out HALLUCINATION_AUDIT_pending.md</w:t>
      </w:r>
    </w:p>
    <w:p>
      <w:pPr>
        <w:pBdr>
          <w:left w:val="single" w:color="1F3A5F" w:sz="18" w:space="8"/>
        </w:pBdr>
        <w:shd w:fill="F5F7FA" w:val="clear"/>
        <w:spacing w:after="80" w:before="80"/>
        <w:ind w:left="280"/>
      </w:pPr>
      <w:r>
        <w:rPr>
          <w:rFonts w:ascii="Consolas" w:cs="Consolas" w:eastAsia="Consolas" w:hAnsi="Consolas"/>
          <w:sz w:val="20"/>
          <w:szCs w:val="20"/>
        </w:rPr>
        <w:t xml:space="preserve">#   → 0 ALTA, 0 MEDIA, 21 BAJA</w:t>
      </w:r>
    </w:p>
    <w:p>
      <w:pPr>
        <w:spacing w:after="120" w:line="300"/>
      </w:pPr>
      <w:r>
        <w:rPr>
          <w:rFonts w:ascii="Calibri" w:cs="Calibri" w:eastAsia="Calibri" w:hAnsi="Calibri"/>
          <w:sz w:val="22"/>
          <w:szCs w:val="22"/>
        </w:rPr>
        <w:t xml:space="preserve"/>
      </w:r>
    </w:p>
    <w:p>
      <w:pPr>
        <w:pBdr>
          <w:left w:val="single" w:color="1F3A5F" w:sz="18" w:space="8"/>
        </w:pBdr>
        <w:shd w:fill="F5F7FA" w:val="clear"/>
        <w:spacing w:after="80" w:before="80"/>
        <w:ind w:left="280"/>
      </w:pPr>
      <w:r>
        <w:rPr>
          <w:rFonts w:ascii="Consolas" w:cs="Consolas" w:eastAsia="Consolas" w:hAnsi="Consolas"/>
          <w:sz w:val="20"/>
          <w:szCs w:val="20"/>
        </w:rPr>
        <w:t xml:space="preserve"># 3. Preflight local</w:t>
      </w:r>
    </w:p>
    <w:p>
      <w:pPr>
        <w:pBdr>
          <w:left w:val="single" w:color="1F3A5F" w:sz="18" w:space="8"/>
        </w:pBdr>
        <w:shd w:fill="F5F7FA" w:val="clear"/>
        <w:spacing w:after="80" w:before="80"/>
        <w:ind w:left="280"/>
      </w:pPr>
      <w:r>
        <w:rPr>
          <w:rFonts w:ascii="Consolas" w:cs="Consolas" w:eastAsia="Consolas" w:hAnsi="Consolas"/>
          <w:sz w:val="20"/>
          <w:szCs w:val="20"/>
        </w:rPr>
        <w:t xml:space="preserve">node scripts/build.js</w:t>
      </w:r>
    </w:p>
    <w:p>
      <w:pPr>
        <w:pBdr>
          <w:left w:val="single" w:color="1F3A5F" w:sz="18" w:space="8"/>
        </w:pBdr>
        <w:shd w:fill="F5F7FA" w:val="clear"/>
        <w:spacing w:after="80" w:before="80"/>
        <w:ind w:left="280"/>
      </w:pPr>
      <w:r>
        <w:rPr>
          <w:rFonts w:ascii="Consolas" w:cs="Consolas" w:eastAsia="Consolas" w:hAnsi="Consolas"/>
          <w:sz w:val="20"/>
          <w:szCs w:val="20"/>
        </w:rPr>
        <w:t xml:space="preserve">python scripts/verify_deploy.py --local</w:t>
      </w:r>
    </w:p>
    <w:p>
      <w:pPr>
        <w:pBdr>
          <w:left w:val="single" w:color="1F3A5F" w:sz="18" w:space="8"/>
        </w:pBdr>
        <w:shd w:fill="F5F7FA" w:val="clear"/>
        <w:spacing w:after="80" w:before="80"/>
        <w:ind w:left="280"/>
      </w:pPr>
      <w:r>
        <w:rPr>
          <w:rFonts w:ascii="Consolas" w:cs="Consolas" w:eastAsia="Consolas" w:hAnsi="Consolas"/>
          <w:sz w:val="20"/>
          <w:szCs w:val="20"/>
        </w:rPr>
        <w:t xml:space="preserve">#   → Build completo: 29 archivos · 2449 KB</w:t>
      </w:r>
    </w:p>
    <w:p>
      <w:pPr>
        <w:pBdr>
          <w:left w:val="single" w:color="1F3A5F" w:sz="18" w:space="8"/>
        </w:pBdr>
        <w:shd w:fill="F5F7FA" w:val="clear"/>
        <w:spacing w:after="80" w:before="80"/>
        <w:ind w:left="280"/>
      </w:pPr>
      <w:r>
        <w:rPr>
          <w:rFonts w:ascii="Consolas" w:cs="Consolas" w:eastAsia="Consolas" w:hAnsi="Consolas"/>
          <w:sz w:val="20"/>
          <w:szCs w:val="20"/>
        </w:rPr>
        <w:t xml:space="preserve">#   → preflight OK</w:t>
      </w:r>
    </w:p>
    <w:p>
      <w:pPr>
        <w:spacing w:after="120" w:line="300"/>
      </w:pPr>
      <w:r>
        <w:rPr>
          <w:rFonts w:ascii="Calibri" w:cs="Calibri" w:eastAsia="Calibri" w:hAnsi="Calibri"/>
          <w:sz w:val="22"/>
          <w:szCs w:val="22"/>
        </w:rPr>
        <w:t xml:space="preserve"/>
      </w:r>
    </w:p>
    <w:p>
      <w:pPr>
        <w:pBdr>
          <w:left w:val="single" w:color="1F3A5F" w:sz="18" w:space="8"/>
        </w:pBdr>
        <w:shd w:fill="F5F7FA" w:val="clear"/>
        <w:spacing w:after="80" w:before="80"/>
        <w:ind w:left="280"/>
      </w:pPr>
      <w:r>
        <w:rPr>
          <w:rFonts w:ascii="Consolas" w:cs="Consolas" w:eastAsia="Consolas" w:hAnsi="Consolas"/>
          <w:sz w:val="20"/>
          <w:szCs w:val="20"/>
        </w:rPr>
        <w:t xml:space="preserve"># 4. Simulacro end-to-end</w:t>
      </w:r>
    </w:p>
    <w:p>
      <w:pPr>
        <w:pBdr>
          <w:left w:val="single" w:color="1F3A5F" w:sz="18" w:space="8"/>
        </w:pBdr>
        <w:shd w:fill="F5F7FA" w:val="clear"/>
        <w:spacing w:after="80" w:before="80"/>
        <w:ind w:left="280"/>
      </w:pPr>
      <w:r>
        <w:rPr>
          <w:rFonts w:ascii="Consolas" w:cs="Consolas" w:eastAsia="Consolas" w:hAnsi="Consolas"/>
          <w:sz w:val="20"/>
          <w:szCs w:val="20"/>
        </w:rPr>
        <w:t xml:space="preserve">node demo_simulacro.js</w:t>
      </w:r>
    </w:p>
    <w:p>
      <w:pPr>
        <w:pBdr>
          <w:left w:val="single" w:color="1F3A5F" w:sz="18" w:space="8"/>
        </w:pBdr>
        <w:shd w:fill="F5F7FA" w:val="clear"/>
        <w:spacing w:after="80" w:before="80"/>
        <w:ind w:left="280"/>
      </w:pPr>
      <w:r>
        <w:rPr>
          <w:rFonts w:ascii="Consolas" w:cs="Consolas" w:eastAsia="Consolas" w:hAnsi="Consolas"/>
          <w:sz w:val="20"/>
          <w:szCs w:val="20"/>
        </w:rPr>
        <w:t xml:space="preserve">#   → 10/10 verdes · 0 fallas</w:t>
      </w:r>
    </w:p>
    <w:p>
      <w:pPr>
        <w:pStyle w:val="Heading2"/>
        <w:spacing w:after="140" w:before="280"/>
      </w:pPr>
      <w:r>
        <w:rPr>
          <w:rFonts w:ascii="Calibri" w:cs="Calibri" w:eastAsia="Calibri" w:hAnsi="Calibri"/>
          <w:b/>
          <w:bCs/>
          <w:color w:val="1F3A5F"/>
          <w:sz w:val="26"/>
          <w:szCs w:val="26"/>
        </w:rPr>
        <w:t xml:space="preserve">Anexo B — Métricas de la KB al 19 de abril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Métrica</w:t>
            </w:r>
          </w:p>
        </w:tc>
        <w:tc>
          <w:tcPr>
            <w:tcW w:type="dxa" w:w="456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Valor</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totales</w:t>
            </w:r>
          </w:p>
        </w:tc>
        <w:tc>
          <w:tcPr>
            <w:tcW w:type="dxa" w:w="45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138</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activas (servidas)</w:t>
            </w:r>
          </w:p>
        </w:tc>
        <w:tc>
          <w:tcPr>
            <w:tcW w:type="dxa" w:w="45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115</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neutralizadas</w:t>
            </w:r>
          </w:p>
        </w:tc>
        <w:tc>
          <w:tcPr>
            <w:tcW w:type="dxa" w:w="45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23</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Entries whitelisted</w:t>
            </w:r>
          </w:p>
        </w:tc>
        <w:tc>
          <w:tcPr>
            <w:tcW w:type="dxa" w:w="45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Cobertura por materia</w:t>
            </w:r>
          </w:p>
        </w:tc>
        <w:tc>
          <w:tcPr>
            <w:tcW w:type="dxa" w:w="45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Contabilidad 40 · Administración 42 · Sociales 48 · Propedéutica 8</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Audit pending · alta / media / baja</w:t>
            </w:r>
          </w:p>
        </w:tc>
        <w:tc>
          <w:tcPr>
            <w:tcW w:type="dxa" w:w="45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0 / 0 / 21</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Simulacro DEMO_FLOW</w:t>
            </w:r>
          </w:p>
        </w:tc>
        <w:tc>
          <w:tcPr>
            <w:tcW w:type="dxa" w:w="45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10/10 verde</w:t>
            </w:r>
          </w:p>
        </w:tc>
      </w:tr>
      <w:tr>
        <w:tc>
          <w:tcPr>
            <w:tcW w:type="dxa" w:w="48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Latencia runtime (p50 / p95)</w:t>
            </w:r>
          </w:p>
        </w:tc>
        <w:tc>
          <w:tcPr>
            <w:tcW w:type="dxa" w:w="45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11 ms / 46 ms</w:t>
            </w:r>
          </w:p>
        </w:tc>
      </w:tr>
    </w:tbl>
    <w:p>
      <w:pPr>
        <w:pStyle w:val="Heading2"/>
        <w:spacing w:after="140" w:before="280"/>
      </w:pPr>
      <w:r>
        <w:rPr>
          <w:rFonts w:ascii="Calibri" w:cs="Calibri" w:eastAsia="Calibri" w:hAnsi="Calibri"/>
          <w:b/>
          <w:bCs/>
          <w:color w:val="1F3A5F"/>
          <w:sz w:val="26"/>
          <w:szCs w:val="26"/>
        </w:rPr>
        <w:t xml:space="preserve">Anexo C — Archivos modificados en la sesión de hardening (2026-04-19)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Archivo</w:t>
            </w:r>
          </w:p>
        </w:tc>
        <w:tc>
          <w:tcPr>
            <w:tcW w:type="dxa" w:w="5360"/>
            <w:tcBorders>
              <w:top w:val="single" w:color="BFC7CF" w:sz="1"/>
              <w:left w:val="single" w:color="BFC7CF" w:sz="1"/>
              <w:bottom w:val="single" w:color="BFC7CF" w:sz="1"/>
              <w:right w:val="single" w:color="BFC7CF" w:sz="1"/>
            </w:tcBorders>
            <w:shd w:fill="E8EEF5" w:val="clear"/>
            <w:tcMar>
              <w:top w:type="dxa" w:w="100"/>
              <w:left w:type="dxa" w:w="140"/>
              <w:bottom w:type="dxa" w:w="100"/>
              <w:right w:type="dxa" w:w="140"/>
            </w:tcMar>
          </w:tcPr>
          <w:p>
            <w:pPr>
              <w:jc w:val="left"/>
            </w:pPr>
            <w:r>
              <w:rPr>
                <w:rFonts w:ascii="Calibri" w:cs="Calibri" w:eastAsia="Calibri" w:hAnsi="Calibri"/>
                <w:b/>
                <w:bCs/>
                <w:color w:val="1F3A5F"/>
                <w:sz w:val="21"/>
                <w:szCs w:val="21"/>
              </w:rPr>
              <w:t xml:space="preserve">Cambio</w:t>
            </w:r>
          </w:p>
        </w:tc>
      </w:tr>
      <w:tr>
        <w:tc>
          <w:tcPr>
            <w:tcW w:type="dxa" w:w="40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pipeline/validator.py</w:t>
            </w:r>
          </w:p>
        </w:tc>
        <w:tc>
          <w:tcPr>
            <w:tcW w:type="dxa" w:w="53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+~280 líneas: reglas S1–S5, helpers, self-tests, flag --self-test</w:t>
            </w:r>
          </w:p>
        </w:tc>
      </w:tr>
      <w:tr>
        <w:tc>
          <w:tcPr>
            <w:tcW w:type="dxa" w:w="40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scripts/audit_hallucinations.py</w:t>
            </w:r>
          </w:p>
        </w:tc>
        <w:tc>
          <w:tcPr>
            <w:tcW w:type="dxa" w:w="53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Ya contenía H7 + --exclude-* tras iteración previa del día</w:t>
            </w:r>
          </w:p>
        </w:tc>
      </w:tr>
      <w:tr>
        <w:tc>
          <w:tcPr>
            <w:tcW w:type="dxa" w:w="400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INFORME_AUDITOR.md</w:t>
            </w:r>
          </w:p>
        </w:tc>
        <w:tc>
          <w:tcPr>
            <w:tcW w:type="dxa" w:w="5360"/>
            <w:tcBorders>
              <w:top w:val="single" w:color="BFC7CF" w:sz="1"/>
              <w:left w:val="single" w:color="BFC7CF" w:sz="1"/>
              <w:bottom w:val="single" w:color="BFC7CF" w:sz="1"/>
              <w:right w:val="single" w:color="BFC7CF" w:sz="1"/>
            </w:tcBorders>
            <w:tcMar>
              <w:top w:type="dxa" w:w="100"/>
              <w:left w:type="dxa" w:w="140"/>
              <w:bottom w:type="dxa" w:w="100"/>
              <w:right w:type="dxa" w:w="140"/>
            </w:tcMar>
          </w:tcPr>
          <w:p>
            <w:pPr>
              <w:jc w:val="left"/>
            </w:pPr>
            <w:r>
              <w:rPr>
                <w:rFonts w:ascii="Calibri" w:cs="Calibri" w:eastAsia="Calibri" w:hAnsi="Calibri"/>
                <w:b w:val="false"/>
                <w:bCs w:val="false"/>
                <w:sz w:val="21"/>
                <w:szCs w:val="21"/>
              </w:rPr>
              <w:t xml:space="preserve">Nuevo, este documento</w:t>
            </w:r>
          </w:p>
        </w:tc>
      </w:tr>
    </w:tbl>
    <w:p>
      <w:pPr>
        <w:pStyle w:val="Heading2"/>
        <w:spacing w:after="140" w:before="280"/>
      </w:pPr>
      <w:r>
        <w:rPr>
          <w:rFonts w:ascii="Calibri" w:cs="Calibri" w:eastAsia="Calibri" w:hAnsi="Calibri"/>
          <w:b/>
          <w:bCs/>
          <w:color w:val="1F3A5F"/>
          <w:sz w:val="26"/>
          <w:szCs w:val="26"/>
        </w:rPr>
        <w:t xml:space="preserve">Anexo D — Archivos de referencia para el auditor</w:t>
      </w:r>
    </w:p>
    <w:p>
      <w:pPr>
        <w:pStyle w:val="ListParagraph"/>
        <w:numPr>
          <w:ilvl w:val="0"/>
          <w:numId w:val="2"/>
        </w:numPr>
        <w:spacing w:after="80" w:line="280"/>
      </w:pPr>
      <w:r>
        <w:rPr>
          <w:rFonts w:ascii="Calibri" w:cs="Calibri" w:eastAsia="Calibri" w:hAnsi="Calibri"/>
          <w:sz w:val="22"/>
          <w:szCs w:val="22"/>
        </w:rPr>
        <w:t xml:space="preserve">CLAUDE.md — instrucciones de arquitectura y principios de contenido.</w:t>
      </w:r>
    </w:p>
    <w:p>
      <w:pPr>
        <w:pStyle w:val="ListParagraph"/>
        <w:numPr>
          <w:ilvl w:val="0"/>
          <w:numId w:val="2"/>
        </w:numPr>
        <w:spacing w:after="80" w:line="280"/>
      </w:pPr>
      <w:r>
        <w:rPr>
          <w:rFonts w:ascii="Calibri" w:cs="Calibri" w:eastAsia="Calibri" w:hAnsi="Calibri"/>
          <w:sz w:val="22"/>
          <w:szCs w:val="22"/>
        </w:rPr>
        <w:t xml:space="preserve">DEMO_CONTEXT.md — estado del proyecto al arranque de cada sesión.</w:t>
      </w:r>
    </w:p>
    <w:p>
      <w:pPr>
        <w:pStyle w:val="ListParagraph"/>
        <w:numPr>
          <w:ilvl w:val="0"/>
          <w:numId w:val="2"/>
        </w:numPr>
        <w:spacing w:after="80" w:line="280"/>
      </w:pPr>
      <w:r>
        <w:rPr>
          <w:rFonts w:ascii="Calibri" w:cs="Calibri" w:eastAsia="Calibri" w:hAnsi="Calibri"/>
          <w:sz w:val="22"/>
          <w:szCs w:val="22"/>
        </w:rPr>
        <w:t xml:space="preserve">DEMO_FLOW.md — las 10 queries verificadas del demo 2026-04-20.</w:t>
      </w:r>
    </w:p>
    <w:p>
      <w:pPr>
        <w:pStyle w:val="ListParagraph"/>
        <w:numPr>
          <w:ilvl w:val="0"/>
          <w:numId w:val="2"/>
        </w:numPr>
        <w:spacing w:after="80" w:line="280"/>
      </w:pPr>
      <w:r>
        <w:rPr>
          <w:rFonts w:ascii="Calibri" w:cs="Calibri" w:eastAsia="Calibri" w:hAnsi="Calibri"/>
          <w:sz w:val="22"/>
          <w:szCs w:val="22"/>
        </w:rPr>
        <w:t xml:space="preserve">NEXUS_HYBRID_ARCHITECTURE_v1.2.md — arquitectura del matcher híbrido.</w:t>
      </w:r>
    </w:p>
    <w:p>
      <w:pPr>
        <w:pStyle w:val="ListParagraph"/>
        <w:numPr>
          <w:ilvl w:val="0"/>
          <w:numId w:val="2"/>
        </w:numPr>
        <w:spacing w:after="80" w:line="280"/>
      </w:pPr>
      <w:r>
        <w:rPr>
          <w:rFonts w:ascii="Calibri" w:cs="Calibri" w:eastAsia="Calibri" w:hAnsi="Calibri"/>
          <w:sz w:val="22"/>
          <w:szCs w:val="22"/>
        </w:rPr>
        <w:t xml:space="preserve">OCR_SCOUTING.md — plan de ejecución Fase 3.</w:t>
      </w:r>
    </w:p>
    <w:p>
      <w:pPr>
        <w:pStyle w:val="ListParagraph"/>
        <w:numPr>
          <w:ilvl w:val="0"/>
          <w:numId w:val="2"/>
        </w:numPr>
        <w:spacing w:after="80" w:line="280"/>
      </w:pPr>
      <w:r>
        <w:rPr>
          <w:rFonts w:ascii="Calibri" w:cs="Calibri" w:eastAsia="Calibri" w:hAnsi="Calibri"/>
          <w:sz w:val="22"/>
          <w:szCs w:val="22"/>
        </w:rPr>
        <w:t xml:space="preserve">HALLUCINATION_AUDIT_pending.md — code-smells pendientes post-demo.</w:t>
      </w:r>
    </w:p>
    <w:p>
      <w:pPr>
        <w:spacing w:before="600"/>
        <w:jc w:val="center"/>
      </w:pPr>
      <w:r>
        <w:rPr>
          <w:rFonts w:ascii="Calibri" w:cs="Calibri" w:eastAsia="Calibri" w:hAnsi="Calibri"/>
          <w:i/>
          <w:iCs/>
          <w:color w:val="5B6470"/>
          <w:sz w:val="22"/>
          <w:szCs w:val="22"/>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8"/>
        <w:szCs w:val="18"/>
      </w:rPr>
      <w:t xml:space="preserve">Página </w:t>
    </w:r>
    <w:r>
      <w:rPr>
        <w:rFonts w:ascii="Calibri" w:cs="Calibri" w:eastAsia="Calibri" w:hAnsi="Calibri"/>
        <w:color w:val="5B6470"/>
        <w:sz w:val="18"/>
        <w:szCs w:val="18"/>
      </w:rPr>
      <w:fldChar w:fldCharType="begin"/>
      <w:instrText xml:space="preserve">PAGE</w:instrText>
      <w:fldChar w:fldCharType="separate"/>
      <w:fldChar w:fldCharType="end"/>
    </w:r>
    <w:r>
      <w:rPr>
        <w:rFonts w:ascii="Calibri" w:cs="Calibri" w:eastAsia="Calibri" w:hAnsi="Calibri"/>
        <w:color w:val="5B6470"/>
        <w:sz w:val="18"/>
        <w:szCs w:val="18"/>
      </w:rPr>
      <w:t xml:space="preserve"> de </w:t>
    </w:r>
    <w:r>
      <w:rPr>
        <w:rFonts w:ascii="Calibri" w:cs="Calibri" w:eastAsia="Calibri" w:hAnsi="Calibri"/>
        <w:color w:val="5B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470"/>
        <w:sz w:val="18"/>
        <w:szCs w:val="18"/>
      </w:rPr>
      <w:t xml:space="preserve">NEXUS Portal FCE · Informe técnico v19.30.7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estado técnico — NEXUS Portal FCE v19.30.7</dc:title>
  <dc:creator>Juan — NEXUS Portal FCE</dc:creator>
  <dc:description>Informe técnico para auditoría académica</dc:description>
  <cp:lastModifiedBy>Un-named</cp:lastModifiedBy>
  <cp:revision>1</cp:revision>
  <dcterms:created xsi:type="dcterms:W3CDTF">2026-04-19T17:10:16.828Z</dcterms:created>
  <dcterms:modified xsi:type="dcterms:W3CDTF">2026-04-19T17:10:16.829Z</dcterms:modified>
</cp:coreProperties>
</file>

<file path=docProps/custom.xml><?xml version="1.0" encoding="utf-8"?>
<Properties xmlns="http://schemas.openxmlformats.org/officeDocument/2006/custom-properties" xmlns:vt="http://schemas.openxmlformats.org/officeDocument/2006/docPropsVTypes"/>
</file>