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3A8A"/>
          <w:sz w:val="32"/>
          <w:szCs w:val="32"/>
        </w:rPr>
        <w:t xml:space="preserve">MINI INFORME CTO · EJECUCIÓN RECOMENDACIONES + FIX KB</w:t>
      </w:r>
    </w:p>
    <w:p>
      <w:pPr>
        <w:spacing w:after="40"/>
      </w:pPr>
      <w:r>
        <w:rPr>
          <w:rFonts w:ascii="Arial" w:cs="Arial" w:eastAsia="Arial" w:hAnsi="Arial"/>
          <w:i/>
          <w:iCs/>
          <w:color w:val="111418"/>
          <w:sz w:val="22"/>
          <w:szCs w:val="22"/>
        </w:rPr>
        <w:t xml:space="preserve">Cierre del trabajo de la jornada · pre-encuentro Trucco · trazabilidad completa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8CDD2" w:sz="4"/>
              <w:left w:val="single" w:color="C8CDD2" w:sz="4"/>
              <w:bottom w:val="single" w:color="C8CDD2" w:sz="4"/>
              <w:right w:val="single" w:color="C8CDD2" w:sz="4"/>
            </w:tcBorders>
            <w:shd w:fill="DBEAFE" w:val="clear"/>
            <w:tcMar>
              <w:top w:type="dxa" w:w="80"/>
              <w:left w:type="dxa" w:w="110"/>
              <w:bottom w:type="dxa" w:w="80"/>
              <w:right w:type="dxa" w:w="110"/>
            </w:tcMar>
            <w:vAlign w:val="center"/>
          </w:tcPr>
          <w:p>
            <w:pPr>
              <w:jc w:val="left"/>
            </w:pPr>
            <w:r>
              <w:rPr>
                <w:rFonts w:ascii="Arial" w:cs="Arial" w:eastAsia="Arial" w:hAnsi="Arial"/>
                <w:b/>
                <w:bCs/>
                <w:i w:val="false"/>
                <w:iCs w:val="false"/>
                <w:color w:val="1E3A8A"/>
                <w:sz w:val="18"/>
                <w:szCs w:val="18"/>
              </w:rPr>
              <w:t xml:space="preserve">Fecha</w:t>
            </w:r>
          </w:p>
        </w:tc>
        <w:tc>
          <w:tcPr>
            <w:tcW w:type="dxa" w:w="78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11418"/>
                <w:sz w:val="18"/>
                <w:szCs w:val="18"/>
              </w:rPr>
              <w:t xml:space="preserve">2026-05-05 (martes · noche · cierre del día programador)</w:t>
            </w:r>
          </w:p>
        </w:tc>
      </w:tr>
      <w:tr>
        <w:tc>
          <w:tcPr>
            <w:tcW w:type="dxa" w:w="2200"/>
            <w:tcBorders>
              <w:top w:val="single" w:color="C8CDD2" w:sz="4"/>
              <w:left w:val="single" w:color="C8CDD2" w:sz="4"/>
              <w:bottom w:val="single" w:color="C8CDD2" w:sz="4"/>
              <w:right w:val="single" w:color="C8CDD2" w:sz="4"/>
            </w:tcBorders>
            <w:shd w:fill="DBEAFE" w:val="clear"/>
            <w:tcMar>
              <w:top w:type="dxa" w:w="80"/>
              <w:left w:type="dxa" w:w="110"/>
              <w:bottom w:type="dxa" w:w="80"/>
              <w:right w:type="dxa" w:w="110"/>
            </w:tcMar>
            <w:vAlign w:val="center"/>
          </w:tcPr>
          <w:p>
            <w:pPr>
              <w:jc w:val="left"/>
            </w:pPr>
            <w:r>
              <w:rPr>
                <w:rFonts w:ascii="Arial" w:cs="Arial" w:eastAsia="Arial" w:hAnsi="Arial"/>
                <w:b/>
                <w:bCs/>
                <w:i w:val="false"/>
                <w:iCs w:val="false"/>
                <w:color w:val="1E3A8A"/>
                <w:sz w:val="18"/>
                <w:szCs w:val="18"/>
              </w:rPr>
              <w:t xml:space="preserve">De</w:t>
            </w:r>
          </w:p>
        </w:tc>
        <w:tc>
          <w:tcPr>
            <w:tcW w:type="dxa" w:w="78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11418"/>
                <w:sz w:val="18"/>
                <w:szCs w:val="18"/>
              </w:rPr>
              <w:t xml:space="preserve">Programador (Claude · MCP filesystem activo)</w:t>
            </w:r>
          </w:p>
        </w:tc>
      </w:tr>
      <w:tr>
        <w:tc>
          <w:tcPr>
            <w:tcW w:type="dxa" w:w="2200"/>
            <w:tcBorders>
              <w:top w:val="single" w:color="C8CDD2" w:sz="4"/>
              <w:left w:val="single" w:color="C8CDD2" w:sz="4"/>
              <w:bottom w:val="single" w:color="C8CDD2" w:sz="4"/>
              <w:right w:val="single" w:color="C8CDD2" w:sz="4"/>
            </w:tcBorders>
            <w:shd w:fill="DBEAFE" w:val="clear"/>
            <w:tcMar>
              <w:top w:type="dxa" w:w="80"/>
              <w:left w:type="dxa" w:w="110"/>
              <w:bottom w:type="dxa" w:w="80"/>
              <w:right w:type="dxa" w:w="110"/>
            </w:tcMar>
            <w:vAlign w:val="center"/>
          </w:tcPr>
          <w:p>
            <w:pPr>
              <w:jc w:val="left"/>
            </w:pPr>
            <w:r>
              <w:rPr>
                <w:rFonts w:ascii="Arial" w:cs="Arial" w:eastAsia="Arial" w:hAnsi="Arial"/>
                <w:b/>
                <w:bCs/>
                <w:i w:val="false"/>
                <w:iCs w:val="false"/>
                <w:color w:val="1E3A8A"/>
                <w:sz w:val="18"/>
                <w:szCs w:val="18"/>
              </w:rPr>
              <w:t xml:space="preserve">Para</w:t>
            </w:r>
          </w:p>
        </w:tc>
        <w:tc>
          <w:tcPr>
            <w:tcW w:type="dxa" w:w="78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11418"/>
                <w:sz w:val="18"/>
                <w:szCs w:val="18"/>
              </w:rPr>
              <w:t xml:space="preserve">CTO externo · vía Juan</w:t>
            </w:r>
          </w:p>
        </w:tc>
      </w:tr>
      <w:tr>
        <w:tc>
          <w:tcPr>
            <w:tcW w:type="dxa" w:w="2200"/>
            <w:tcBorders>
              <w:top w:val="single" w:color="C8CDD2" w:sz="4"/>
              <w:left w:val="single" w:color="C8CDD2" w:sz="4"/>
              <w:bottom w:val="single" w:color="C8CDD2" w:sz="4"/>
              <w:right w:val="single" w:color="C8CDD2" w:sz="4"/>
            </w:tcBorders>
            <w:shd w:fill="DBEAFE" w:val="clear"/>
            <w:tcMar>
              <w:top w:type="dxa" w:w="80"/>
              <w:left w:type="dxa" w:w="110"/>
              <w:bottom w:type="dxa" w:w="80"/>
              <w:right w:type="dxa" w:w="110"/>
            </w:tcMar>
            <w:vAlign w:val="center"/>
          </w:tcPr>
          <w:p>
            <w:pPr>
              <w:jc w:val="left"/>
            </w:pPr>
            <w:r>
              <w:rPr>
                <w:rFonts w:ascii="Arial" w:cs="Arial" w:eastAsia="Arial" w:hAnsi="Arial"/>
                <w:b/>
                <w:bCs/>
                <w:i w:val="false"/>
                <w:iCs w:val="false"/>
                <w:color w:val="1E3A8A"/>
                <w:sz w:val="18"/>
                <w:szCs w:val="18"/>
              </w:rPr>
              <w:t xml:space="preserve">Asunto</w:t>
            </w:r>
          </w:p>
        </w:tc>
        <w:tc>
          <w:tcPr>
            <w:tcW w:type="dxa" w:w="78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11418"/>
                <w:sz w:val="18"/>
                <w:szCs w:val="18"/>
              </w:rPr>
              <w:t xml:space="preserve">Status post-ejecución de las 4 recomendaciones del informe consolidado · 1 hallazgo crítico durante smoke + fix aplicado · pendientes operativos</w:t>
            </w:r>
          </w:p>
        </w:tc>
      </w:tr>
    </w:tbl>
    <w:p>
      <w:pPr>
        <w:spacing w:after="120" w:before="280"/>
        <w:jc w:val="left"/>
      </w:pPr>
      <w:r>
        <w:rPr>
          <w:rFonts w:ascii="Arial" w:cs="Arial" w:eastAsia="Arial" w:hAnsi="Arial"/>
          <w:b/>
          <w:bCs/>
          <w:color w:val="1E3A8A"/>
          <w:sz w:val="32"/>
          <w:szCs w:val="32"/>
        </w:rPr>
        <w:t xml:space="preserve">Sumario ejecutivo</w:t>
      </w:r>
    </w:p>
    <w:p>
      <w:pPr>
        <w:spacing w:after="80" w:before="0"/>
        <w:jc w:val="left"/>
      </w:pPr>
      <w:r>
        <w:rPr>
          <w:rFonts w:ascii="Arial" w:cs="Arial" w:eastAsia="Arial" w:hAnsi="Arial"/>
          <w:b w:val="false"/>
          <w:bCs w:val="false"/>
          <w:i w:val="false"/>
          <w:iCs w:val="false"/>
          <w:color w:val="111418"/>
          <w:sz w:val="22"/>
          <w:szCs w:val="22"/>
        </w:rPr>
        <w:t xml:space="preserve">Las 4 recomendaciones del informe consolidado del CTO (H2 system prompt auditor + H4 refuse threshold strict + H5 telemetría JSONL + rebrand del chat) fueron ejecutadas e implementadas en la misma jornada del 2026-05-05. Sistema completo deployado: proxy reiniciado con system prompt nuevo · frontend con threshold strict y rebrand activo · chat en producción en https://nexus-contabilidad.vercel.app.</w:t>
      </w:r>
    </w:p>
    <w:p>
      <w:pPr>
        <w:spacing w:after="80" w:before="0"/>
        <w:jc w:val="left"/>
      </w:pPr>
      <w:r>
        <w:rPr>
          <w:rFonts w:ascii="Arial" w:cs="Arial" w:eastAsia="Arial" w:hAnsi="Arial"/>
          <w:b w:val="false"/>
          <w:bCs w:val="false"/>
          <w:i w:val="false"/>
          <w:iCs w:val="false"/>
          <w:color w:val="111418"/>
          <w:sz w:val="22"/>
          <w:szCs w:val="22"/>
        </w:rPr>
        <w:t xml:space="preserve">Durante el smoke test, el lead detectó un hallazgo crítico: la entry KB activo_vs_pasivo todavía contenía la regla mnemotécnica "el activo es lo que tenés / el pasivo es lo que debés" — exactamente la fórmula que Trucco había rechazado hace 11 días por imprecisión técnica. Si Trucco hubiera entrado al chat antes del fix, la primera respuesta que veía era el mismo contenido que él mismo había marcado como inaceptable.</w:t>
      </w:r>
    </w:p>
    <w:p>
      <w:pPr>
        <w:spacing w:after="80" w:before="0"/>
        <w:jc w:val="left"/>
      </w:pPr>
      <w:r>
        <w:rPr>
          <w:rFonts w:ascii="Arial" w:cs="Arial" w:eastAsia="Arial" w:hAnsi="Arial"/>
          <w:b w:val="false"/>
          <w:bCs w:val="false"/>
          <w:i w:val="false"/>
          <w:iCs w:val="false"/>
          <w:color w:val="111418"/>
          <w:sz w:val="22"/>
          <w:szCs w:val="22"/>
        </w:rPr>
        <w:t xml:space="preserve">Fix ejecutado en la misma jornada: entry reescrita con definiciones literales IASB Marco Conceptual 2018 (párr. 4.3, 4.4, 4.63) + RT 16 FACPCE (§ 4.1.1 y § 4.1.2) con citas explícitas. Welcome screen del chat también rebrandeado (estaba quedando como "NEXUS Co-Worker" en el cuerpo aunque el header decía "NEXUS Auditor"). Ambos fixes deployados a producción.</w:t>
      </w:r>
    </w:p>
    <w:p>
      <w:pPr>
        <w:spacing w:after="120" w:before="280"/>
        <w:jc w:val="left"/>
      </w:pPr>
      <w:r>
        <w:rPr>
          <w:rFonts w:ascii="Arial" w:cs="Arial" w:eastAsia="Arial" w:hAnsi="Arial"/>
          <w:b/>
          <w:bCs/>
          <w:color w:val="1E3A8A"/>
          <w:sz w:val="32"/>
          <w:szCs w:val="32"/>
        </w:rPr>
        <w:t xml:space="preserve">Ejecución de las 4 recomendaciones del 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5400"/>
        <w:gridCol w:w="1180"/>
      </w:tblGrid>
      <w:tr>
        <w:trPr>
          <w:tblHeader/>
        </w:trPr>
        <w:tc>
          <w:tcPr>
            <w:tcW w:type="dxa" w:w="350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Recomendación</w:t>
            </w:r>
          </w:p>
        </w:tc>
        <w:tc>
          <w:tcPr>
            <w:tcW w:type="dxa" w:w="540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Detalle implementación</w:t>
            </w:r>
          </w:p>
        </w:tc>
        <w:tc>
          <w:tcPr>
            <w:tcW w:type="dxa" w:w="118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Status</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H2 · System prompt auditor_academico</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Las 7 reglas literales del informe consolidado cargadas en nexus-ai-proxy/server.js como nueva entrada en PERSONALITY. Activación automática por header X-Tenant=trucco, context.mode=auditor_academico, o origen nexus-contabilidad.vercel.app. SYSTEM_BASE genérico se omite para el modo auditor para no diluir las reglas.</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APLICADO</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H4 · Refuse threshold 0.5 → 0.75</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Función _activeMatchThreshold(entry) en nexus-ai.js · detecta tenant Trucco por window.NX_TENANT, hostname o ?mode=auditor · aplica Math.max(0.75, threshold de la entry). Coherente con la regla 3 del system prompt auditor (refuse honesto &gt; respuesta tibia).</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APLICADO</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H5 · Telemetría JSONL</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Append-only en TELEMETRY_DIR/{tenant}_chat_YYYY-MM-DD.jsonl · schema completo del CTO · session_id hasheado IP+UA · query/response redactados (email + DNI con regex) · citations parseadas con regex RT/IASB/NIIF · sin PII. La carpeta y archivo se crean al primer LLM call.</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APLICADO</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Rebrand del chat</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Header del chat + welcome screen del cuerpo + indicadores de status. NEXUS Co-Worker → NEXUS Auditor · llama3.2 GPU local → Contabilidad académica modelo local · icono 🧠 → ⚖. Quick buttons rebrandeados a queries auditor-relevantes (RT 16 vs IASB, RT 54 NUA, etc).</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APLICADO</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Plan B fallback útil</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Cuando proxy/tunnel cae para tenant Trucco, mensaje específico: "El asistente está temporalmente fuera de línea. La base de conocimiento (173 entries de Contabilidad con citas literales RT 16, RT 54 NUA, IASB) sigue disponible para navegación directa." Validado durante smoke (apareció cuando el LLM no respondió).</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APLICADO</w:t>
            </w:r>
          </w:p>
        </w:tc>
      </w:tr>
    </w:tbl>
    <w:p>
      <w:pPr>
        <w:spacing w:after="120" w:before="280"/>
        <w:jc w:val="left"/>
      </w:pPr>
      <w:r>
        <w:rPr>
          <w:rFonts w:ascii="Arial" w:cs="Arial" w:eastAsia="Arial" w:hAnsi="Arial"/>
          <w:b/>
          <w:bCs/>
          <w:color w:val="1E3A8A"/>
          <w:sz w:val="32"/>
          <w:szCs w:val="32"/>
        </w:rPr>
        <w:t xml:space="preserve">Hallazgo crítico durante smoke test</w:t>
      </w:r>
    </w:p>
    <w:p>
      <w:pPr>
        <w:spacing w:after="80" w:before="0"/>
        <w:jc w:val="left"/>
      </w:pPr>
      <w:r>
        <w:rPr>
          <w:rFonts w:ascii="Arial" w:cs="Arial" w:eastAsia="Arial" w:hAnsi="Arial"/>
          <w:b/>
          <w:bCs/>
          <w:sz w:val="22"/>
          <w:szCs w:val="22"/>
        </w:rPr>
        <w:t xml:space="preserve">Severidad: </w:t>
      </w:r>
      <w:r>
        <w:rPr>
          <w:rFonts w:ascii="Arial" w:cs="Arial" w:eastAsia="Arial" w:hAnsi="Arial"/>
          <w:b/>
          <w:bCs/>
          <w:color w:val="991B1B"/>
          <w:sz w:val="22"/>
          <w:szCs w:val="22"/>
        </w:rPr>
        <w:t xml:space="preserve">ALTA · evitada solo porque el lead probó antes que Trucco.</w:t>
      </w:r>
    </w:p>
    <w:p>
      <w:pPr>
        <w:spacing w:after="80" w:before="0"/>
        <w:jc w:val="left"/>
      </w:pPr>
      <w:r>
        <w:rPr>
          <w:rFonts w:ascii="Arial" w:cs="Arial" w:eastAsia="Arial" w:hAnsi="Arial"/>
          <w:b w:val="false"/>
          <w:bCs w:val="false"/>
          <w:i w:val="false"/>
          <w:iCs w:val="false"/>
          <w:color w:val="111418"/>
          <w:sz w:val="22"/>
          <w:szCs w:val="22"/>
        </w:rPr>
        <w:t xml:space="preserve">El lead abrió el chat de la versión Trucco para validar el rebrand y el comportamiento del system prompt nuevo. La primera query ("¿Cuál es la diferencia entre activo y pasivo según RT 16?") matcheó la entry activo_vs_pasivo del KB con score 0.95 — pero el contenido de esa entry incluía la frase rechazada por Trucco hace 11 días:</w:t>
      </w:r>
    </w:p>
    <w:p>
      <w:pPr>
        <w:spacing w:after="60" w:before="60"/>
        <w:jc w:val="left"/>
      </w:pPr>
      <w:r>
        <w:rPr>
          <w:rFonts w:ascii="Arial" w:cs="Arial" w:eastAsia="Arial" w:hAnsi="Arial"/>
          <w:i/>
          <w:iCs/>
          <w:color w:val="991B1B"/>
          <w:sz w:val="21"/>
          <w:szCs w:val="21"/>
        </w:rPr>
        <w:t xml:space="preserve">"Regla mnemotécnica: el activo es lo que tenés; el pasivo es lo que debés. La diferencia entre ambos (A − P) es el patrimonio neto, es decir la participación propia del titular."</w:t>
      </w:r>
    </w:p>
    <w:p>
      <w:pPr>
        <w:spacing w:after="80" w:before="0"/>
        <w:jc w:val="left"/>
      </w:pPr>
      <w:r>
        <w:rPr>
          <w:rFonts w:ascii="Arial" w:cs="Arial" w:eastAsia="Arial" w:hAnsi="Arial"/>
          <w:b w:val="false"/>
          <w:bCs w:val="false"/>
          <w:i w:val="false"/>
          <w:iCs w:val="false"/>
          <w:color w:val="111418"/>
          <w:sz w:val="22"/>
          <w:szCs w:val="22"/>
        </w:rPr>
        <w:t xml:space="preserve">El system prompt auditor_academico (H2) NO impide que el chat devuelva contenido del KB tal cual está — el prompt instruye al LLM cómo responder, pero los KB hits responden directo desde el frontend sin pasar por el LLM. Si el contenido del KB ya tiene una frase imprecisa, el chat la devuelve aunque el system prompt sea perfecto.</w:t>
      </w:r>
    </w:p>
    <w:p>
      <w:pPr>
        <w:spacing w:after="80" w:before="0"/>
        <w:jc w:val="left"/>
      </w:pPr>
      <w:r>
        <w:rPr>
          <w:rFonts w:ascii="Arial" w:cs="Arial" w:eastAsia="Arial" w:hAnsi="Arial"/>
          <w:i/>
          <w:iCs/>
          <w:color w:val="44505C"/>
          <w:sz w:val="22"/>
          <w:szCs w:val="22"/>
        </w:rPr>
        <w:t xml:space="preserve">Esta es una limitación de arquitectura del approach "H2 + H4" tal como estaba implementado. El lead vio la frase rechazada y disparó el fix de inmediato.</w:t>
      </w:r>
    </w:p>
    <w:p>
      <w:pPr>
        <w:spacing w:after="120" w:before="280"/>
        <w:jc w:val="left"/>
      </w:pPr>
      <w:r>
        <w:rPr>
          <w:rFonts w:ascii="Arial" w:cs="Arial" w:eastAsia="Arial" w:hAnsi="Arial"/>
          <w:b/>
          <w:bCs/>
          <w:color w:val="1E3A8A"/>
          <w:sz w:val="32"/>
          <w:szCs w:val="32"/>
        </w:rPr>
        <w:t xml:space="preserve">Fix aplicado en la misma jornada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5400"/>
        <w:gridCol w:w="1180"/>
      </w:tblGrid>
      <w:tr>
        <w:trPr>
          <w:tblHeader/>
        </w:trPr>
        <w:tc>
          <w:tcPr>
            <w:tcW w:type="dxa" w:w="350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Item modificado</w:t>
            </w:r>
          </w:p>
        </w:tc>
        <w:tc>
          <w:tcPr>
            <w:tcW w:type="dxa" w:w="540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Detalle del fix</w:t>
            </w:r>
          </w:p>
        </w:tc>
        <w:tc>
          <w:tcPr>
            <w:tcW w:type="dxa" w:w="118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Origen</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KB · activo_vs_pasivo</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Entry reescrita. Removida regla mnemotécnica "tenés/debés". Reemplazada por definiciones literales IASB MC 2018 párr. 4.3 (activo), 4.4 (pasivo), 4.63 (patrimonio neto) + RT 16 FACPCE § 4.1.1 y § 4.1.2 con citas explícitas. Tabla comparativa técnica reformulada (sin frases mnemotécnicas). Sección sobre tensión RT 16 vs IASB y aplicación práctica argentina (cumple regla 6 del system prompt auditor).</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scripts/patch_kb_trucco_fixes.py · idempotente · reproducible</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KB · ecuacion_contable</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Mismo bloque del patch. Se mantuvo el contenido técnico que ya era correcto (Activo = Pasivo + PN) pero se agregaron citas literales IASB MC párr. 4.63 + RT 16 para cumplir la regla 2 del system prompt auditor (cita explícita en cada afirmación técnica).</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scripts/patch_kb_trucco_fixes.py</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Frontend · welcome screen</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renderWelcome() en nexus-ai.js detectaba tenant Trucco solo en el header del chat, no en el welcome screen del cuerpo. Resultado: aunque el header decía "NEXUS Auditor", al abrir el chat el alumno veía "NEXUS Co-Worker · Tu asistente de estudio con IA". Fixed: welcome screen ahora también detecta tenant y muestra branding auditor + quick buttons reformulados a queries auditor-relevantes.</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Edit puntual en línea 1010-1067</w:t>
            </w:r>
          </w:p>
        </w:tc>
      </w:tr>
    </w:tbl>
    <w:p>
      <w:pPr>
        <w:spacing w:after="60" w:before="160"/>
        <w:jc w:val="left"/>
      </w:pPr>
      <w:r>
        <w:rPr>
          <w:rFonts w:ascii="Arial" w:cs="Arial" w:eastAsia="Arial" w:hAnsi="Arial"/>
          <w:b/>
          <w:bCs/>
          <w:color w:val="111418"/>
          <w:sz w:val="22"/>
          <w:szCs w:val="22"/>
        </w:rPr>
        <w:t xml:space="preserve">Trazabilidad del fix: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5400"/>
        <w:gridCol w:w="1180"/>
      </w:tblGrid>
      <w:tr>
        <w:trPr>
          <w:tblHeader/>
        </w:trPr>
        <w:tc>
          <w:tcPr>
            <w:tcW w:type="dxa" w:w="350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Archivo</w:t>
            </w:r>
          </w:p>
        </w:tc>
        <w:tc>
          <w:tcPr>
            <w:tcW w:type="dxa" w:w="540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Cambio</w:t>
            </w:r>
          </w:p>
        </w:tc>
        <w:tc>
          <w:tcPr>
            <w:tcW w:type="dxa" w:w="118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MD5 (16)</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kb/knowledge_base.json</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Entry activo_vs_pasivo y ecuacion_contable reescritas</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0a6297c782384b3d</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scripts/patch_kb_trucco_fixes.py</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Script idempotente que aplica las reescrituras</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48556b0e604c7923</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nexus-ai.js</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Welcome screen rebrand condicional para tenant Trucco</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e7795eb7ded058d0</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nexus-contabilidad-deploy/public/index.html</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Build solo-contabilidad re-sincronizado</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bd012f7c63088fda</w:t>
            </w:r>
          </w:p>
        </w:tc>
      </w:tr>
    </w:tbl>
    <w:p>
      <w:pPr>
        <w:spacing w:after="120" w:before="280"/>
        <w:jc w:val="left"/>
      </w:pPr>
      <w:r>
        <w:rPr>
          <w:rFonts w:ascii="Arial" w:cs="Arial" w:eastAsia="Arial" w:hAnsi="Arial"/>
          <w:b/>
          <w:bCs/>
          <w:color w:val="1E3A8A"/>
          <w:sz w:val="32"/>
          <w:szCs w:val="32"/>
        </w:rPr>
        <w:t xml:space="preserve">Estado del sistema al cierre del día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5400"/>
        <w:gridCol w:w="1180"/>
      </w:tblGrid>
      <w:tr>
        <w:trPr>
          <w:tblHeader/>
        </w:trPr>
        <w:tc>
          <w:tcPr>
            <w:tcW w:type="dxa" w:w="350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Componente</w:t>
            </w:r>
          </w:p>
        </w:tc>
        <w:tc>
          <w:tcPr>
            <w:tcW w:type="dxa" w:w="540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Status</w:t>
            </w:r>
          </w:p>
        </w:tc>
        <w:tc>
          <w:tcPr>
            <w:tcW w:type="dxa" w:w="1180"/>
            <w:tcBorders>
              <w:top w:val="single" w:color="C8CDD2" w:sz="4"/>
              <w:left w:val="single" w:color="C8CDD2" w:sz="4"/>
              <w:bottom w:val="single" w:color="C8CDD2" w:sz="4"/>
              <w:right w:val="single" w:color="C8CDD2" w:sz="4"/>
            </w:tcBorders>
            <w:shd w:fill="1E3A8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9"/>
                <w:szCs w:val="19"/>
              </w:rPr>
              <w:t xml:space="preserve">Endpoint / hash</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Proxy NEXUS local</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Corriendo · Ollama connected · llama3.2 + mistral 7b Q4 + gemma2 disponibles · GPU RTX 3080 inferred</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localhost:3100</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Cloudflare Tunnel</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Activo · URL fija propagada en index.html + nexus-ai-config.json + dist/index.html del repo</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cord-bernard-ease-hanging.trycloudflare.com</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Repo GitHub portal-fceV2</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7 commits del Sprint Sovereign V1 + chat especializado pusheados a main · auto-deploy Vercel del Portal académico activo</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9a66d4d..4d1893e</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Deploy Vercel · Portal académico</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portal-fce-v2.vercel.app actualizado por auto-deploy desde GitHub · URL nueva del tunnel propagada</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Deploy Vercel · Portal Trucco (después del fix)</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 Re-deployado con KB corregida + welcome screen rebrandeado · URL fija aliased estable</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https://nexus-contabilidad.vercel.app</w:t>
            </w:r>
          </w:p>
        </w:tc>
      </w:tr>
      <w:tr>
        <w:trPr>
          <w:cantSplit/>
        </w:trPr>
        <w:tc>
          <w:tcPr>
            <w:tcW w:type="dxa" w:w="35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bCs/>
                <w:i w:val="false"/>
                <w:iCs w:val="false"/>
                <w:color w:val="44505C"/>
                <w:sz w:val="17"/>
                <w:szCs w:val="17"/>
              </w:rPr>
              <w:t xml:space="preserve">Telemetría JSONL</w:t>
            </w:r>
          </w:p>
        </w:tc>
        <w:tc>
          <w:tcPr>
            <w:tcW w:type="dxa" w:w="540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Carpeta vacía aún · se va a poblar cuando lleguen queries que no hagan match en KB y disparen LLM fallback. Las queries del smoke matchearon en KB local sin pegar al proxy.</w:t>
            </w:r>
          </w:p>
        </w:tc>
        <w:tc>
          <w:tcPr>
            <w:tcW w:type="dxa" w:w="1180"/>
            <w:tcBorders>
              <w:top w:val="single" w:color="C8CDD2" w:sz="4"/>
              <w:left w:val="single" w:color="C8CDD2" w:sz="4"/>
              <w:bottom w:val="single" w:color="C8CDD2" w:sz="4"/>
              <w:right w:val="single" w:color="C8CDD2" w:sz="4"/>
            </w:tcBorders>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44505C"/>
                <w:sz w:val="17"/>
                <w:szCs w:val="17"/>
              </w:rPr>
              <w:t xml:space="preserve">telemetria/</w:t>
            </w:r>
          </w:p>
        </w:tc>
      </w:tr>
    </w:tbl>
    <w:p>
      <w:pPr>
        <w:spacing w:after="120" w:before="280"/>
        <w:jc w:val="left"/>
      </w:pPr>
      <w:r>
        <w:rPr>
          <w:rFonts w:ascii="Arial" w:cs="Arial" w:eastAsia="Arial" w:hAnsi="Arial"/>
          <w:b/>
          <w:bCs/>
          <w:color w:val="1E3A8A"/>
          <w:sz w:val="32"/>
          <w:szCs w:val="32"/>
        </w:rPr>
        <w:t xml:space="preserve">Pendientes operativos</w:t>
      </w:r>
    </w:p>
    <w:p>
      <w:pPr>
        <w:spacing w:after="60" w:before="160"/>
        <w:jc w:val="left"/>
      </w:pPr>
      <w:r>
        <w:rPr>
          <w:rFonts w:ascii="Arial" w:cs="Arial" w:eastAsia="Arial" w:hAnsi="Arial"/>
          <w:b/>
          <w:bCs/>
          <w:color w:val="111418"/>
          <w:sz w:val="22"/>
          <w:szCs w:val="22"/>
        </w:rPr>
        <w:t xml:space="preserve">Para el lead (Juan):</w:t>
      </w:r>
    </w:p>
    <w:p>
      <w:pPr>
        <w:spacing w:after="80" w:before="0"/>
        <w:jc w:val="left"/>
      </w:pPr>
      <w:r>
        <w:rPr>
          <w:rFonts w:ascii="Arial" w:cs="Arial" w:eastAsia="Arial" w:hAnsi="Arial"/>
          <w:b w:val="false"/>
          <w:bCs w:val="false"/>
          <w:i w:val="false"/>
          <w:iCs w:val="false"/>
          <w:color w:val="111418"/>
          <w:sz w:val="22"/>
          <w:szCs w:val="22"/>
        </w:rPr>
        <w:t xml:space="preserve">• Commit + push del fix de hoy (KB activo_vs_pasivo + ecuacion_contable + welcome screen). Son 2-3 archivos modificados que aún no están en GitHub. Comando único: git add kb/knowledge_base.json scripts/patch_kb_trucco_fixes.py nexus-ai.js &amp;&amp; git commit + git push origin main.</w:t>
      </w:r>
    </w:p>
    <w:p>
      <w:pPr>
        <w:spacing w:after="80" w:before="0"/>
        <w:jc w:val="left"/>
      </w:pPr>
      <w:r>
        <w:rPr>
          <w:rFonts w:ascii="Arial" w:cs="Arial" w:eastAsia="Arial" w:hAnsi="Arial"/>
          <w:b w:val="false"/>
          <w:bCs w:val="false"/>
          <w:i w:val="false"/>
          <w:iCs w:val="false"/>
          <w:color w:val="111418"/>
          <w:sz w:val="22"/>
          <w:szCs w:val="22"/>
        </w:rPr>
        <w:t xml:space="preserve">• Test interno completo de 10-15 queries de auditor real (recomendación CTO original). Ahora con la KB corregida y el system prompt auditor activo, sería bueno completar el batch antes de coordinar encuentro con Trucco.</w:t>
      </w:r>
    </w:p>
    <w:p>
      <w:pPr>
        <w:spacing w:after="80" w:before="0"/>
        <w:jc w:val="left"/>
      </w:pPr>
      <w:r>
        <w:rPr>
          <w:rFonts w:ascii="Arial" w:cs="Arial" w:eastAsia="Arial" w:hAnsi="Arial"/>
          <w:b w:val="false"/>
          <w:bCs w:val="false"/>
          <w:i w:val="false"/>
          <w:iCs w:val="false"/>
          <w:color w:val="111418"/>
          <w:sz w:val="22"/>
          <w:szCs w:val="22"/>
        </w:rPr>
        <w:t xml:space="preserve">• Coordinar ventana fija con Trucco · proxy + tunnel arriba antes del horario · validado con el lead que ahora la versión está lista.</w:t>
      </w:r>
    </w:p>
    <w:p>
      <w:pPr>
        <w:spacing w:after="60" w:before="160"/>
        <w:jc w:val="left"/>
      </w:pPr>
      <w:r>
        <w:rPr>
          <w:rFonts w:ascii="Arial" w:cs="Arial" w:eastAsia="Arial" w:hAnsi="Arial"/>
          <w:b/>
          <w:bCs/>
          <w:color w:val="111418"/>
          <w:sz w:val="22"/>
          <w:szCs w:val="22"/>
        </w:rPr>
        <w:t xml:space="preserve">Para el CTO (consultivo):</w:t>
      </w:r>
    </w:p>
    <w:p>
      <w:pPr>
        <w:spacing w:after="80" w:before="0"/>
        <w:jc w:val="left"/>
      </w:pPr>
      <w:r>
        <w:rPr>
          <w:rFonts w:ascii="Arial" w:cs="Arial" w:eastAsia="Arial" w:hAnsi="Arial"/>
          <w:b w:val="false"/>
          <w:bCs w:val="false"/>
          <w:i w:val="false"/>
          <w:iCs w:val="false"/>
          <w:color w:val="111418"/>
          <w:sz w:val="22"/>
          <w:szCs w:val="22"/>
        </w:rPr>
        <w:t xml:space="preserve">• ¿Vale revisar el resto de las 173 entries Contabilidad para detectar otras frases pedagógicas / mnemotécnicas que podrían chocar con el nivel auditor? El bug de hoy fue específicamente la entry que Trucco rechazó, pero conceptualmente puede haber otras del mismo tipo. Costo estimado de auditoría manual: 2-3h del programador. ¿Vale la pena pre-encuentro o esperamos al feedback de Trucco?</w:t>
      </w:r>
    </w:p>
    <w:p>
      <w:pPr>
        <w:spacing w:after="80" w:before="0"/>
        <w:jc w:val="left"/>
      </w:pPr>
      <w:r>
        <w:rPr>
          <w:rFonts w:ascii="Arial" w:cs="Arial" w:eastAsia="Arial" w:hAnsi="Arial"/>
          <w:b w:val="false"/>
          <w:bCs w:val="false"/>
          <w:i w:val="false"/>
          <w:iCs w:val="false"/>
          <w:color w:val="111418"/>
          <w:sz w:val="22"/>
          <w:szCs w:val="22"/>
        </w:rPr>
        <w:t xml:space="preserve">• ¿La limitación arquitectural identificada hoy (system prompt no afecta KB hits) merece un fix estructural? Una opción es post-procesar las respuestas KB con el LLM aplicando el system prompt auditor para reformular antes de devolver. Costo significativo (8-12h). Probablemente NO vale antes del primer encuentro · sí vale considerar para v2 si Trucco lo justifica.</w:t>
      </w:r>
    </w:p>
    <w:p>
      <w:pPr>
        <w:spacing w:after="120" w:before="280"/>
        <w:jc w:val="left"/>
      </w:pPr>
      <w:r>
        <w:rPr>
          <w:rFonts w:ascii="Arial" w:cs="Arial" w:eastAsia="Arial" w:hAnsi="Arial"/>
          <w:b/>
          <w:bCs/>
          <w:color w:val="1E3A8A"/>
          <w:sz w:val="32"/>
          <w:szCs w:val="32"/>
        </w:rPr>
        <w:t xml:space="preserve">Cierre</w:t>
      </w:r>
    </w:p>
    <w:p>
      <w:pPr>
        <w:spacing w:after="80" w:before="0"/>
        <w:jc w:val="left"/>
      </w:pPr>
      <w:r>
        <w:rPr>
          <w:rFonts w:ascii="Arial" w:cs="Arial" w:eastAsia="Arial" w:hAnsi="Arial"/>
          <w:b w:val="false"/>
          <w:bCs w:val="false"/>
          <w:i w:val="false"/>
          <w:iCs w:val="false"/>
          <w:color w:val="111418"/>
          <w:sz w:val="22"/>
          <w:szCs w:val="22"/>
        </w:rPr>
        <w:t xml:space="preserve">Las 4 recomendaciones del informe consolidado del CTO están aplicadas y deployadas. El bug detectado durante smoke fue de doctrina mas que de implementación · la regla "literal_quote_or_refuse" del proyecto requiere que las entries del KB sean ya literales y verificables · la entry activo_vs_pasivo violaba esta regla por contener una regla mnemotécnica pedagógica residual del estado pre-CKG.</w:t>
      </w:r>
    </w:p>
    <w:p>
      <w:pPr>
        <w:spacing w:after="80" w:before="0"/>
        <w:jc w:val="left"/>
      </w:pPr>
      <w:r>
        <w:rPr>
          <w:rFonts w:ascii="Arial" w:cs="Arial" w:eastAsia="Arial" w:hAnsi="Arial"/>
          <w:b w:val="false"/>
          <w:bCs w:val="false"/>
          <w:i w:val="false"/>
          <w:iCs w:val="false"/>
          <w:color w:val="111418"/>
          <w:sz w:val="22"/>
          <w:szCs w:val="22"/>
        </w:rPr>
        <w:t xml:space="preserve">La calidad del catch del lead durante el smoke (1 hora antes de coordinar contacto con Trucco) es exactamente lo que el CTO recomendó: "el lead debe probar el chat con 10-15 queries de auditor real ANTES de cualquier encuentro con Trucco · el objetivo NO es validar que el chat sea perfecto, es identificar dónde falla antes de que falle frente a Trucco". Este informe documenta el primer catch · pendiente completar el batch de 10-15.</w:t>
      </w:r>
    </w:p>
    <w:p>
      <w:pPr>
        <w:spacing w:after="80" w:before="200"/>
        <w:jc w:val="left"/>
      </w:pPr>
      <w:r>
        <w:rPr>
          <w:rFonts w:ascii="Arial" w:cs="Arial" w:eastAsia="Arial" w:hAnsi="Arial"/>
          <w:b w:val="false"/>
          <w:bCs w:val="false"/>
          <w:i/>
          <w:iCs/>
          <w:color w:val="44505C"/>
          <w:sz w:val="22"/>
          <w:szCs w:val="22"/>
        </w:rPr>
        <w:t xml:space="preserve">Quedo a disposición para ejecutar lo que recomiende el CTO sobre los 2 pendientes consultivos del cierre.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Informe CTO · ejecución recomendaciones + fix KB · 2026-05-05</dc:title>
  <dc:creator>NEXUS · Vision Patagonia</dc:creator>
  <cp:lastModifiedBy>Un-named</cp:lastModifiedBy>
  <cp:revision>1</cp:revision>
  <dcterms:created xsi:type="dcterms:W3CDTF">2026-05-06T00:41:26.173Z</dcterms:created>
  <dcterms:modified xsi:type="dcterms:W3CDTF">2026-05-06T00:41:26.173Z</dcterms:modified>
</cp:coreProperties>
</file>

<file path=docProps/custom.xml><?xml version="1.0" encoding="utf-8"?>
<Properties xmlns="http://schemas.openxmlformats.org/officeDocument/2006/custom-properties" xmlns:vt="http://schemas.openxmlformats.org/officeDocument/2006/docPropsVTypes"/>
</file>