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C6A1" w14:textId="77777777" w:rsidR="00C01EC1" w:rsidRPr="00C01EC1" w:rsidRDefault="00C01EC1" w:rsidP="00C01EC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 Proposed Service Proposals to be Opened in the Second Period of 2021</w:t>
      </w:r>
    </w:p>
    <w:p w14:paraId="101CE569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July 5, 2021. 10:02:40</w:t>
      </w:r>
    </w:p>
    <w:p w14:paraId="3F99953B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01FED918" w14:textId="5773216D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Institute for Research and Community Service has again opened acceptance of the Thematic </w:t>
      </w:r>
      <w:r w:rsidR="005575AA">
        <w:rPr>
          <w:rFonts w:ascii="Times New Roman" w:hAnsi="Times New Roman" w:cs="Times New Roman"/>
          <w:sz w:val="24"/>
        </w:rPr>
        <w:t>KKN</w:t>
      </w:r>
      <w:r>
        <w:rPr>
          <w:rFonts w:ascii="Times New Roman" w:hAnsi="Times New Roman" w:cs="Times New Roman"/>
          <w:sz w:val="24"/>
        </w:rPr>
        <w:t xml:space="preserve"> Proposal for the second period. Previously, the Thematic KKN for the first period was opened in April - May 2021 with the theme </w:t>
      </w:r>
      <w:r w:rsidR="005575AA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>" then</w:t>
      </w:r>
      <w:r w:rsidR="005575A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 period </w:t>
      </w:r>
      <w:r w:rsidR="005575AA">
        <w:rPr>
          <w:rFonts w:ascii="Times New Roman" w:hAnsi="Times New Roman" w:cs="Times New Roman"/>
          <w:sz w:val="24"/>
        </w:rPr>
        <w:t>two,</w:t>
      </w:r>
      <w:r>
        <w:rPr>
          <w:rFonts w:ascii="Times New Roman" w:hAnsi="Times New Roman" w:cs="Times New Roman"/>
          <w:sz w:val="24"/>
        </w:rPr>
        <w:t xml:space="preserve"> it was divided into </w:t>
      </w:r>
      <w:r w:rsidR="005575AA">
        <w:rPr>
          <w:rFonts w:ascii="Times New Roman" w:hAnsi="Times New Roman" w:cs="Times New Roman"/>
          <w:sz w:val="24"/>
        </w:rPr>
        <w:t>two</w:t>
      </w:r>
      <w:r>
        <w:rPr>
          <w:rFonts w:ascii="Times New Roman" w:hAnsi="Times New Roman" w:cs="Times New Roman"/>
          <w:sz w:val="24"/>
        </w:rPr>
        <w:t xml:space="preserve"> main themes</w:t>
      </w:r>
      <w:r w:rsidR="005575A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575AA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 w:rsidR="005575A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and </w:t>
      </w:r>
      <w:r w:rsidR="005575AA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Bersinar</w:t>
      </w:r>
      <w:proofErr w:type="spellEnd"/>
      <w:r w:rsidR="005575AA">
        <w:rPr>
          <w:rFonts w:ascii="Times New Roman" w:hAnsi="Times New Roman" w:cs="Times New Roman"/>
          <w:sz w:val="24"/>
        </w:rPr>
        <w:t>."</w:t>
      </w:r>
    </w:p>
    <w:p w14:paraId="28DB2D56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</w:p>
    <w:p w14:paraId="7B66F7E2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locations of the community services are as follows:</w:t>
      </w:r>
    </w:p>
    <w:p w14:paraId="3840A06C" w14:textId="76D63221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Thematic KKN Program </w:t>
      </w:r>
      <w:r w:rsidR="005575AA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>" covers 4 (four) Provinces</w:t>
      </w:r>
      <w:r w:rsidR="005575A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Gorontalo, North Sulawesi, Central Sulawesi</w:t>
      </w:r>
      <w:r w:rsidR="005575A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North Maluku. </w:t>
      </w:r>
    </w:p>
    <w:p w14:paraId="22572AE0" w14:textId="0D2DB5CF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Thematic KKN Program </w:t>
      </w:r>
      <w:r w:rsidR="005575AA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Bersinar</w:t>
      </w:r>
      <w:proofErr w:type="spellEnd"/>
      <w:r>
        <w:rPr>
          <w:rFonts w:ascii="Times New Roman" w:hAnsi="Times New Roman" w:cs="Times New Roman"/>
          <w:sz w:val="24"/>
        </w:rPr>
        <w:t xml:space="preserve">" covers Gorontalo Province, North Gorontalo Regency. </w:t>
      </w:r>
    </w:p>
    <w:p w14:paraId="05148C79" w14:textId="574390A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is open from 5 - 19 July 2021 </w:t>
      </w:r>
      <w:r w:rsidR="005575AA">
        <w:rPr>
          <w:rFonts w:ascii="Times New Roman" w:hAnsi="Times New Roman" w:cs="Times New Roman"/>
          <w:sz w:val="24"/>
        </w:rPr>
        <w:t>regarding</w:t>
      </w:r>
      <w:r>
        <w:rPr>
          <w:rFonts w:ascii="Times New Roman" w:hAnsi="Times New Roman" w:cs="Times New Roman"/>
          <w:sz w:val="24"/>
        </w:rPr>
        <w:t xml:space="preserve"> the Guidelines for Writing Proposals adapted to the Thematic KKN TOR.   </w:t>
      </w:r>
    </w:p>
    <w:p w14:paraId="005DC12C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"It is estimated that thousands of students will participate in KKN in the second period, so 201 proposals are needed to guide students in KKN locations in August - September," said the Head of LPPM, Prof.  Dr.  Isaac Isa, M. Si </w:t>
      </w:r>
    </w:p>
    <w:p w14:paraId="27C865D7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</w:p>
    <w:p w14:paraId="4DF7AD11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Registration Link </w:t>
      </w:r>
    </w:p>
    <w:p w14:paraId="31B743BD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Letter of notification </w:t>
      </w:r>
    </w:p>
    <w:p w14:paraId="5EAE65FA" w14:textId="77777777" w:rsidR="00C01EC1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TOR for the Thematic KKN </w:t>
      </w:r>
      <w:r>
        <w:rPr>
          <w:rFonts w:ascii="Times New Roman" w:hAnsi="Times New Roman" w:cs="Times New Roman"/>
          <w:i/>
          <w:iCs/>
          <w:sz w:val="24"/>
        </w:rPr>
        <w:t>Desa Bersinar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</w:rPr>
        <w:t xml:space="preserve">Bersih Narkoba; </w:t>
      </w:r>
      <w:r>
        <w:rPr>
          <w:rFonts w:ascii="Times New Roman" w:hAnsi="Times New Roman" w:cs="Times New Roman"/>
          <w:sz w:val="24"/>
        </w:rPr>
        <w:t xml:space="preserve">Drugs-clean) </w:t>
      </w:r>
    </w:p>
    <w:p w14:paraId="638B0A20" w14:textId="77777777" w:rsidR="00306078" w:rsidRPr="00C01EC1" w:rsidRDefault="00C01EC1" w:rsidP="00C01E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TOR for the Thematic KKN </w:t>
      </w:r>
      <w:r>
        <w:rPr>
          <w:rFonts w:ascii="Times New Roman" w:hAnsi="Times New Roman" w:cs="Times New Roman"/>
          <w:i/>
          <w:iCs/>
          <w:sz w:val="24"/>
        </w:rPr>
        <w:t>Desa Membangun</w:t>
      </w:r>
    </w:p>
    <w:sectPr w:rsidR="00306078" w:rsidRPr="00C0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rAwN7c0NbZQ0lEKTi0uzszPAykwrAUAt+u92ywAAAA="/>
  </w:docVars>
  <w:rsids>
    <w:rsidRoot w:val="00C01EC1"/>
    <w:rsid w:val="00306078"/>
    <w:rsid w:val="005575AA"/>
    <w:rsid w:val="00C0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5D36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6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2022-10-05T07:37:00Z</dcterms:created>
  <dcterms:modified xsi:type="dcterms:W3CDTF">2022-10-12T00:27:00Z</dcterms:modified>
</cp:coreProperties>
</file>