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5F6368"/>
          <w:spacing w:val="20"/>
          <w:sz w:val="17"/>
          <w:szCs w:val="17"/>
        </w:rPr>
        <w:t xml:space="preserve">Legal - Contract</w:t>
      </w:r>
    </w:p>
    <w:p>
      <w:pPr>
        <w:pStyle w:val="Title"/>
        <w:spacing w:after="80"/>
      </w:pPr>
      <w:r>
        <w:rPr>
          <w:rFonts w:ascii="Calibri" w:cs="Calibri" w:eastAsia="Calibri" w:hAnsi="Calibri"/>
          <w:b/>
          <w:bCs/>
          <w:color w:val="1F1F1F"/>
          <w:sz w:val="44"/>
          <w:szCs w:val="44"/>
        </w:rPr>
        <w:t xml:space="preserve">Data Processing Agreement</w:t>
      </w:r>
    </w:p>
    <w:p>
      <w:pPr>
        <w:spacing w:after="260"/>
      </w:pPr>
      <w:r>
        <w:rPr>
          <w:rFonts w:ascii="Calibri" w:cs="Calibri" w:eastAsia="Calibri" w:hAnsi="Calibri"/>
          <w:color w:val="5F6368"/>
          <w:sz w:val="18"/>
          <w:szCs w:val="18"/>
        </w:rPr>
        <w:t xml:space="preserve">Version 1.0  -  Last updated: 18 September 2026</w:t>
      </w:r>
    </w:p>
    <w:tbl>
      <w:tblPr>
        <w:tblW w:type="pct" w:w="100%"/>
        <w:tblBorders>
          <w:top w:val="single" w:color="E3E3E3" w:sz="4"/>
          <w:left w:val="single" w:color="4285F4" w:sz="24"/>
          <w:bottom w:val="single" w:color="E3E3E3" w:sz="4"/>
          <w:right w:val="single" w:color="E3E3E3" w:sz="4"/>
          <w:insideH w:val="none" w:color="FFFFFF" w:sz="0"/>
          <w:insideV w:val="none" w:color="FFFFFF" w:sz="0"/>
        </w:tblBorders>
      </w:tblPr>
      <w:tblGrid>
        <w:gridCol w:w="100"/>
      </w:tblGrid>
      <w:tr>
        <w:tc>
          <w:tcPr>
            <w:shd w:fill="F1F3F4" w:val="clear"/>
            <w:tcMar>
              <w:top w:type="dxa" w:w="160"/>
              <w:left w:type="dxa" w:w="200"/>
              <w:bottom w:type="dxa" w:w="160"/>
              <w:right w:type="dxa" w:w="200"/>
            </w:tcMar>
          </w:tcPr>
          <w:p>
            <w:pPr>
              <w:spacing w:line="300"/>
            </w:pPr>
            <w:r>
              <w:rPr>
                <w:rFonts w:ascii="Calibri" w:cs="Calibri" w:eastAsia="Calibri" w:hAnsi="Calibri"/>
                <w:b/>
                <w:bCs/>
                <w:color w:val="1F1F1F"/>
                <w:sz w:val="21"/>
                <w:szCs w:val="21"/>
              </w:rPr>
              <w:t xml:space="preserve">In short: </w:t>
            </w:r>
            <w:r>
              <w:rPr>
                <w:rFonts w:ascii="Calibri" w:cs="Calibri" w:eastAsia="Calibri" w:hAnsi="Calibri"/>
                <w:color w:val="5F6368"/>
                <w:sz w:val="21"/>
                <w:szCs w:val="21"/>
              </w:rPr>
              <w:t xml:space="preserve">when your facility's tenant and lead data flows through Bayshire OS, you (the operator) are the Controller and Bayshire OS is the Processor. This DPA sets the rules for how we handle that data: only on your instructions, kept secure, never sold, sub-processors disclosed and controlled, and returned or deleted when you leave. It is incorporated by reference into the Terms of Service and any Master Service Agreement.</w:t>
            </w:r>
          </w:p>
        </w:tc>
      </w:tr>
    </w:tbl>
    <w:p>
      <w:pPr>
        <w:spacing w:after="280"/>
      </w:pPr>
    </w:p>
    <w:p>
      <w:pPr>
        <w:pStyle w:val="Heading1"/>
        <w:pBdr>
          <w:top w:val="single" w:color="E3E3E3" w:sz="4" w:space="8"/>
        </w:pBdr>
        <w:spacing w:after="140" w:before="360"/>
      </w:pPr>
      <w:r>
        <w:rPr>
          <w:rFonts w:ascii="Calibri" w:cs="Calibri" w:eastAsia="Calibri" w:hAnsi="Calibri"/>
          <w:b/>
          <w:bCs/>
          <w:color w:val="1F1F1F"/>
          <w:sz w:val="25"/>
          <w:szCs w:val="25"/>
        </w:rPr>
        <w:t xml:space="preserve">1. Definitions</w:t>
      </w:r>
    </w:p>
    <w:p>
      <w:pPr>
        <w:spacing w:after="160" w:line="300"/>
      </w:pPr>
      <w:r>
        <w:rPr>
          <w:rFonts w:ascii="Calibri" w:cs="Calibri" w:eastAsia="Calibri" w:hAnsi="Calibri"/>
          <w:color w:val="5F6368"/>
          <w:sz w:val="21"/>
          <w:szCs w:val="21"/>
        </w:rPr>
        <w:t xml:space="preserve">Capitalized terms not defined here have the meaning given in the Terms of Service.</w:t>
      </w:r>
    </w:p>
    <w:p>
      <w:pPr>
        <w:pStyle w:val="ListParagraph"/>
        <w:numPr>
          <w:ilvl w:val="0"/>
          <w:numId w:val="1"/>
        </w:numPr>
        <w:spacing w:after="90" w:line="290"/>
      </w:pPr>
      <w:r>
        <w:rPr>
          <w:rFonts w:ascii="Calibri" w:cs="Calibri" w:eastAsia="Calibri" w:hAnsi="Calibri"/>
          <w:b/>
          <w:bCs/>
          <w:color w:val="1F1F1F"/>
          <w:sz w:val="21"/>
          <w:szCs w:val="21"/>
        </w:rPr>
        <w:t xml:space="preserve">"Data Protection Laws" </w:t>
      </w:r>
      <w:r>
        <w:rPr>
          <w:rFonts w:ascii="Calibri" w:cs="Calibri" w:eastAsia="Calibri" w:hAnsi="Calibri"/>
          <w:color w:val="5F6368"/>
          <w:sz w:val="21"/>
          <w:szCs w:val="21"/>
        </w:rPr>
        <w:t xml:space="preserve">means all applicable laws relating to the processing of Personal Data, including, where applicable, the UAE Federal Decree-Law No. 45 of 2021 (PDPL) and, where a Customer's own obligations require it, the EU/UK GDPR.</w:t>
      </w:r>
    </w:p>
    <w:p>
      <w:pPr>
        <w:pStyle w:val="ListParagraph"/>
        <w:numPr>
          <w:ilvl w:val="0"/>
          <w:numId w:val="1"/>
        </w:numPr>
        <w:spacing w:after="90" w:line="290"/>
      </w:pPr>
      <w:r>
        <w:rPr>
          <w:rFonts w:ascii="Calibri" w:cs="Calibri" w:eastAsia="Calibri" w:hAnsi="Calibri"/>
          <w:b/>
          <w:bCs/>
          <w:color w:val="1F1F1F"/>
          <w:sz w:val="21"/>
          <w:szCs w:val="21"/>
        </w:rPr>
        <w:t xml:space="preserve">"Controller," "Processor," "Data Subject," "Personal Data," "Personal Data Breach," and "Processing" </w:t>
      </w:r>
      <w:r>
        <w:rPr>
          <w:rFonts w:ascii="Calibri" w:cs="Calibri" w:eastAsia="Calibri" w:hAnsi="Calibri"/>
          <w:color w:val="5F6368"/>
          <w:sz w:val="21"/>
          <w:szCs w:val="21"/>
        </w:rPr>
        <w:t xml:space="preserve">have the meanings given in applicable Data Protection Laws.</w:t>
      </w:r>
    </w:p>
    <w:p>
      <w:pPr>
        <w:pStyle w:val="ListParagraph"/>
        <w:numPr>
          <w:ilvl w:val="0"/>
          <w:numId w:val="1"/>
        </w:numPr>
        <w:spacing w:after="90" w:line="290"/>
      </w:pPr>
      <w:r>
        <w:rPr>
          <w:rFonts w:ascii="Calibri" w:cs="Calibri" w:eastAsia="Calibri" w:hAnsi="Calibri"/>
          <w:b/>
          <w:bCs/>
          <w:color w:val="1F1F1F"/>
          <w:sz w:val="21"/>
          <w:szCs w:val="21"/>
        </w:rPr>
        <w:t xml:space="preserve">"Customer Personal Data" </w:t>
      </w:r>
      <w:r>
        <w:rPr>
          <w:rFonts w:ascii="Calibri" w:cs="Calibri" w:eastAsia="Calibri" w:hAnsi="Calibri"/>
          <w:color w:val="5F6368"/>
          <w:sz w:val="21"/>
          <w:szCs w:val="21"/>
        </w:rPr>
        <w:t xml:space="preserve">means Personal Data contained in Customer Data that Bayshire OS Processes on Customer's behalf in providing the Service.</w:t>
      </w:r>
    </w:p>
    <w:p>
      <w:pPr>
        <w:pStyle w:val="ListParagraph"/>
        <w:numPr>
          <w:ilvl w:val="0"/>
          <w:numId w:val="1"/>
        </w:numPr>
        <w:spacing w:after="90" w:line="290"/>
      </w:pPr>
      <w:r>
        <w:rPr>
          <w:rFonts w:ascii="Calibri" w:cs="Calibri" w:eastAsia="Calibri" w:hAnsi="Calibri"/>
          <w:b/>
          <w:bCs/>
          <w:color w:val="1F1F1F"/>
          <w:sz w:val="21"/>
          <w:szCs w:val="21"/>
        </w:rPr>
        <w:t xml:space="preserve">"Sub-processor" </w:t>
      </w:r>
      <w:r>
        <w:rPr>
          <w:rFonts w:ascii="Calibri" w:cs="Calibri" w:eastAsia="Calibri" w:hAnsi="Calibri"/>
          <w:color w:val="5F6368"/>
          <w:sz w:val="21"/>
          <w:szCs w:val="21"/>
        </w:rPr>
        <w:t xml:space="preserve">means a third party engaged by Bayshire OS to Process Customer Personal Data.</w:t>
      </w:r>
    </w:p>
    <w:p>
      <w:pPr>
        <w:pStyle w:val="Heading1"/>
        <w:pBdr>
          <w:top w:val="single" w:color="E3E3E3" w:sz="4" w:space="8"/>
        </w:pBdr>
        <w:spacing w:after="140" w:before="360"/>
      </w:pPr>
      <w:r>
        <w:rPr>
          <w:rFonts w:ascii="Calibri" w:cs="Calibri" w:eastAsia="Calibri" w:hAnsi="Calibri"/>
          <w:b/>
          <w:bCs/>
          <w:color w:val="1F1F1F"/>
          <w:sz w:val="25"/>
          <w:szCs w:val="25"/>
        </w:rPr>
        <w:t xml:space="preserve">2. Scope &amp; Roles</w:t>
      </w:r>
    </w:p>
    <w:p>
      <w:pPr>
        <w:spacing w:after="160" w:line="300"/>
      </w:pPr>
      <w:r>
        <w:rPr>
          <w:rFonts w:ascii="Calibri" w:cs="Calibri" w:eastAsia="Calibri" w:hAnsi="Calibri"/>
          <w:color w:val="5F6368"/>
          <w:sz w:val="21"/>
          <w:szCs w:val="21"/>
        </w:rPr>
        <w:t xml:space="preserve">This Data Processing Agreement ("DPA") applies to the extent Bayshire OS Processes Customer Personal Data in the course of providing the Service under the Terms of Service or an applicable Order Form (the "Agreement"). The parties agree that, in relation to Customer Personal Data, Customer is the Controller (or, where applicable, processor acting on behalf of a further controller) and Bayshire OS is the Processor. Nothing in this DPA affects the parties' relationship with respect to Bayshire OS's own account, billing, and marketing data, for which Bayshire OS acts as Controller under the Privacy Policy.</w:t>
      </w:r>
    </w:p>
    <w:p>
      <w:pPr>
        <w:pStyle w:val="Heading1"/>
        <w:pBdr>
          <w:top w:val="single" w:color="E3E3E3" w:sz="4" w:space="8"/>
        </w:pBdr>
        <w:spacing w:after="140" w:before="360"/>
      </w:pPr>
      <w:r>
        <w:rPr>
          <w:rFonts w:ascii="Calibri" w:cs="Calibri" w:eastAsia="Calibri" w:hAnsi="Calibri"/>
          <w:b/>
          <w:bCs/>
          <w:color w:val="1F1F1F"/>
          <w:sz w:val="25"/>
          <w:szCs w:val="25"/>
        </w:rPr>
        <w:t xml:space="preserve">3. Processing on Instructions</w:t>
      </w:r>
    </w:p>
    <w:p>
      <w:pPr>
        <w:spacing w:after="160" w:line="300"/>
      </w:pPr>
      <w:r>
        <w:rPr>
          <w:rFonts w:ascii="Calibri" w:cs="Calibri" w:eastAsia="Calibri" w:hAnsi="Calibri"/>
          <w:color w:val="5F6368"/>
          <w:sz w:val="21"/>
          <w:szCs w:val="21"/>
        </w:rPr>
        <w:t xml:space="preserve">Bayshire OS will Process Customer Personal Data only: (1) to provide, secure, and support the Service; (2) in accordance with Customer's documented instructions, which include the Agreement and Customer's ordinary use of Service features and configuration; and (3) as required by applicable law, in which case Bayshire OS will inform Customer of that legal requirement before Processing, unless the law prohibits such notice. Bayshire OS will promptly notify Customer if it believes an instruction infringes Data Protection Laws.</w:t>
      </w:r>
    </w:p>
    <w:p>
      <w:pPr>
        <w:pStyle w:val="Heading1"/>
        <w:pBdr>
          <w:top w:val="single" w:color="E3E3E3" w:sz="4" w:space="8"/>
        </w:pBdr>
        <w:spacing w:after="140" w:before="360"/>
      </w:pPr>
      <w:r>
        <w:rPr>
          <w:rFonts w:ascii="Calibri" w:cs="Calibri" w:eastAsia="Calibri" w:hAnsi="Calibri"/>
          <w:b/>
          <w:bCs/>
          <w:color w:val="1F1F1F"/>
          <w:sz w:val="25"/>
          <w:szCs w:val="25"/>
        </w:rPr>
        <w:t xml:space="preserve">4. Confidentiality of Personnel</w:t>
      </w:r>
    </w:p>
    <w:p>
      <w:pPr>
        <w:spacing w:after="160" w:line="300"/>
      </w:pPr>
      <w:r>
        <w:rPr>
          <w:rFonts w:ascii="Calibri" w:cs="Calibri" w:eastAsia="Calibri" w:hAnsi="Calibri"/>
          <w:color w:val="5F6368"/>
          <w:sz w:val="21"/>
          <w:szCs w:val="21"/>
        </w:rPr>
        <w:t xml:space="preserve">Bayshire OS will ensure that personnel authorized to Process Customer Personal Data are subject to a binding duty of confidentiality and receive appropriate training on handling Personal Data.</w:t>
      </w:r>
    </w:p>
    <w:p>
      <w:pPr>
        <w:pStyle w:val="Heading1"/>
        <w:pBdr>
          <w:top w:val="single" w:color="E3E3E3" w:sz="4" w:space="8"/>
        </w:pBdr>
        <w:spacing w:after="140" w:before="360"/>
      </w:pPr>
      <w:r>
        <w:rPr>
          <w:rFonts w:ascii="Calibri" w:cs="Calibri" w:eastAsia="Calibri" w:hAnsi="Calibri"/>
          <w:b/>
          <w:bCs/>
          <w:color w:val="1F1F1F"/>
          <w:sz w:val="25"/>
          <w:szCs w:val="25"/>
        </w:rPr>
        <w:t xml:space="preserve">5. Security Measures</w:t>
      </w:r>
    </w:p>
    <w:p>
      <w:pPr>
        <w:spacing w:after="160" w:line="300"/>
      </w:pPr>
      <w:r>
        <w:rPr>
          <w:rFonts w:ascii="Calibri" w:cs="Calibri" w:eastAsia="Calibri" w:hAnsi="Calibri"/>
          <w:color w:val="5F6368"/>
          <w:sz w:val="21"/>
          <w:szCs w:val="21"/>
        </w:rPr>
        <w:t xml:space="preserve">Bayshire OS will implement and maintain the technical and organizational measures described in Annex II, designed to protect Customer Personal Data against accidental or unlawful destruction, loss, alteration, unauthorized disclosure, or access, appropriate to the risk.</w:t>
      </w:r>
    </w:p>
    <w:p>
      <w:pPr>
        <w:pStyle w:val="Heading1"/>
        <w:pBdr>
          <w:top w:val="single" w:color="E3E3E3" w:sz="4" w:space="8"/>
        </w:pBdr>
        <w:spacing w:after="140" w:before="360"/>
      </w:pPr>
      <w:r>
        <w:rPr>
          <w:rFonts w:ascii="Calibri" w:cs="Calibri" w:eastAsia="Calibri" w:hAnsi="Calibri"/>
          <w:b/>
          <w:bCs/>
          <w:color w:val="1F1F1F"/>
          <w:sz w:val="25"/>
          <w:szCs w:val="25"/>
        </w:rPr>
        <w:t xml:space="preserve">6. Sub-processors</w:t>
      </w:r>
    </w:p>
    <w:p>
      <w:pPr>
        <w:spacing w:after="160" w:line="300"/>
      </w:pPr>
      <w:r>
        <w:rPr>
          <w:rFonts w:ascii="Calibri" w:cs="Calibri" w:eastAsia="Calibri" w:hAnsi="Calibri"/>
          <w:color w:val="5F6368"/>
          <w:sz w:val="21"/>
          <w:szCs w:val="21"/>
        </w:rPr>
        <w:t xml:space="preserve">Customer provides general authorization for Bayshire OS to engage the Sub-processors listed in Annex III, and any additional Sub-processors, provided Bayshire OS imposes data protection obligations on each Sub-processor materially no less protective than this DPA and remains liable for their performance. Bayshire OS will give Customer at least 15 days' notice (by email or in-product notice) before engaging a new Sub-processor, during which Customer may object on reasonable data-protection grounds; the parties will work in good faith to resolve the objection, failing which Customer may terminate the affected Service as its exclusive remedy.</w:t>
      </w:r>
    </w:p>
    <w:p>
      <w:pPr>
        <w:pStyle w:val="Heading1"/>
        <w:pBdr>
          <w:top w:val="single" w:color="E3E3E3" w:sz="4" w:space="8"/>
        </w:pBdr>
        <w:spacing w:after="140" w:before="360"/>
      </w:pPr>
      <w:r>
        <w:rPr>
          <w:rFonts w:ascii="Calibri" w:cs="Calibri" w:eastAsia="Calibri" w:hAnsi="Calibri"/>
          <w:b/>
          <w:bCs/>
          <w:color w:val="1F1F1F"/>
          <w:sz w:val="25"/>
          <w:szCs w:val="25"/>
        </w:rPr>
        <w:t xml:space="preserve">7. Assistance with Data Subject Rights</w:t>
      </w:r>
    </w:p>
    <w:p>
      <w:pPr>
        <w:spacing w:after="160" w:line="300"/>
      </w:pPr>
      <w:r>
        <w:rPr>
          <w:rFonts w:ascii="Calibri" w:cs="Calibri" w:eastAsia="Calibri" w:hAnsi="Calibri"/>
          <w:color w:val="5F6368"/>
          <w:sz w:val="21"/>
          <w:szCs w:val="21"/>
        </w:rPr>
        <w:t xml:space="preserve">Bayshire OS will provide reasonable technical and organizational assistance to help Customer respond to requests from Data Subjects (such as access, correction, deletion, or portability requests) relating to Customer Personal Data, through Service functionality or, where that is not sufficient, other reasonable means. If Bayshire OS receives a Data Subject request directly and can identify Customer, it will redirect the request to Customer without responding, except as required by law.</w:t>
      </w:r>
    </w:p>
    <w:p>
      <w:pPr>
        <w:pStyle w:val="Heading1"/>
        <w:pBdr>
          <w:top w:val="single" w:color="E3E3E3" w:sz="4" w:space="8"/>
        </w:pBdr>
        <w:spacing w:after="140" w:before="360"/>
      </w:pPr>
      <w:r>
        <w:rPr>
          <w:rFonts w:ascii="Calibri" w:cs="Calibri" w:eastAsia="Calibri" w:hAnsi="Calibri"/>
          <w:b/>
          <w:bCs/>
          <w:color w:val="1F1F1F"/>
          <w:sz w:val="25"/>
          <w:szCs w:val="25"/>
        </w:rPr>
        <w:t xml:space="preserve">8. Personal Data Breach Notification</w:t>
      </w:r>
    </w:p>
    <w:p>
      <w:pPr>
        <w:spacing w:after="160" w:line="300"/>
      </w:pPr>
      <w:r>
        <w:rPr>
          <w:rFonts w:ascii="Calibri" w:cs="Calibri" w:eastAsia="Calibri" w:hAnsi="Calibri"/>
          <w:color w:val="5F6368"/>
          <w:sz w:val="21"/>
          <w:szCs w:val="21"/>
        </w:rPr>
        <w:t xml:space="preserve">Bayshire OS will notify Customer without undue delay, and in any case within 72 hours of becoming aware, of any confirmed Personal Data Breach affecting Customer Personal Data, and will provide information reasonably available to it to help Customer meet its own notification obligations, including the nature of the breach, likely consequences, and measures taken or proposed. Bayshire OS will take reasonable steps to contain, investigate, and remediate the breach.</w:t>
      </w:r>
    </w:p>
    <w:p>
      <w:pPr>
        <w:pStyle w:val="Heading1"/>
        <w:pBdr>
          <w:top w:val="single" w:color="E3E3E3" w:sz="4" w:space="8"/>
        </w:pBdr>
        <w:spacing w:after="140" w:before="360"/>
      </w:pPr>
      <w:r>
        <w:rPr>
          <w:rFonts w:ascii="Calibri" w:cs="Calibri" w:eastAsia="Calibri" w:hAnsi="Calibri"/>
          <w:b/>
          <w:bCs/>
          <w:color w:val="1F1F1F"/>
          <w:sz w:val="25"/>
          <w:szCs w:val="25"/>
        </w:rPr>
        <w:t xml:space="preserve">9. Data Protection Impact Assessments</w:t>
      </w:r>
    </w:p>
    <w:p>
      <w:pPr>
        <w:spacing w:after="160" w:line="300"/>
      </w:pPr>
      <w:r>
        <w:rPr>
          <w:rFonts w:ascii="Calibri" w:cs="Calibri" w:eastAsia="Calibri" w:hAnsi="Calibri"/>
          <w:color w:val="5F6368"/>
          <w:sz w:val="21"/>
          <w:szCs w:val="21"/>
        </w:rPr>
        <w:t xml:space="preserve">Bayshire OS will provide reasonable cooperation to Customer, at Customer's expense for anything beyond standard documentation, in connection with any data protection impact assessment or prior consultation with a supervisory authority that Customer reasonably considers necessary in relation to the Service.</w:t>
      </w:r>
    </w:p>
    <w:p>
      <w:pPr>
        <w:pStyle w:val="Heading1"/>
        <w:pBdr>
          <w:top w:val="single" w:color="E3E3E3" w:sz="4" w:space="8"/>
        </w:pBdr>
        <w:spacing w:after="140" w:before="360"/>
      </w:pPr>
      <w:r>
        <w:rPr>
          <w:rFonts w:ascii="Calibri" w:cs="Calibri" w:eastAsia="Calibri" w:hAnsi="Calibri"/>
          <w:b/>
          <w:bCs/>
          <w:color w:val="1F1F1F"/>
          <w:sz w:val="25"/>
          <w:szCs w:val="25"/>
        </w:rPr>
        <w:t xml:space="preserve">10. International Transfers</w:t>
      </w:r>
    </w:p>
    <w:p>
      <w:pPr>
        <w:spacing w:after="160" w:line="300"/>
      </w:pPr>
      <w:r>
        <w:rPr>
          <w:rFonts w:ascii="Calibri" w:cs="Calibri" w:eastAsia="Calibri" w:hAnsi="Calibri"/>
          <w:color w:val="5F6368"/>
          <w:sz w:val="21"/>
          <w:szCs w:val="21"/>
        </w:rPr>
        <w:t xml:space="preserve">Bayshire OS may Process Customer Personal Data outside Customer's country, including in the United Arab Emirates and countries where Sub-processors listed in Annex III operate. Where Data Protection Laws require a specific transfer mechanism (such as Standard Contractual Clauses), the parties agree to execute or rely on the appropriate mechanism, which is incorporated into this DPA by reference to the extent required.</w:t>
      </w:r>
    </w:p>
    <w:p>
      <w:pPr>
        <w:pStyle w:val="Heading1"/>
        <w:pBdr>
          <w:top w:val="single" w:color="E3E3E3" w:sz="4" w:space="8"/>
        </w:pBdr>
        <w:spacing w:after="140" w:before="360"/>
      </w:pPr>
      <w:r>
        <w:rPr>
          <w:rFonts w:ascii="Calibri" w:cs="Calibri" w:eastAsia="Calibri" w:hAnsi="Calibri"/>
          <w:b/>
          <w:bCs/>
          <w:color w:val="1F1F1F"/>
          <w:sz w:val="25"/>
          <w:szCs w:val="25"/>
        </w:rPr>
        <w:t xml:space="preserve">11. Audit Rights</w:t>
      </w:r>
    </w:p>
    <w:p>
      <w:pPr>
        <w:spacing w:after="160" w:line="300"/>
      </w:pPr>
      <w:r>
        <w:rPr>
          <w:rFonts w:ascii="Calibri" w:cs="Calibri" w:eastAsia="Calibri" w:hAnsi="Calibri"/>
          <w:color w:val="5F6368"/>
          <w:sz w:val="21"/>
          <w:szCs w:val="21"/>
        </w:rPr>
        <w:t xml:space="preserve">On reasonable prior notice, and no more than once per 12-month period (unless required by a supervisory authority or following a Personal Data Breach), Bayshire OS will make available information reasonably necessary to demonstrate compliance with this DPA, which may be satisfied by providing a summary of relevant security certifications, audit reports, or completed security questionnaires, or by permitting an on-site or remote audit conducted in a manner that minimizes disruption to Bayshire OS's business and does not expose other customers' data.</w:t>
      </w:r>
    </w:p>
    <w:p>
      <w:pPr>
        <w:pStyle w:val="Heading1"/>
        <w:pBdr>
          <w:top w:val="single" w:color="E3E3E3" w:sz="4" w:space="8"/>
        </w:pBdr>
        <w:spacing w:after="140" w:before="360"/>
      </w:pPr>
      <w:r>
        <w:rPr>
          <w:rFonts w:ascii="Calibri" w:cs="Calibri" w:eastAsia="Calibri" w:hAnsi="Calibri"/>
          <w:b/>
          <w:bCs/>
          <w:color w:val="1F1F1F"/>
          <w:sz w:val="25"/>
          <w:szCs w:val="25"/>
        </w:rPr>
        <w:t xml:space="preserve">12. Return &amp; Deletion of Data</w:t>
      </w:r>
    </w:p>
    <w:p>
      <w:pPr>
        <w:spacing w:after="160" w:line="300"/>
      </w:pPr>
      <w:r>
        <w:rPr>
          <w:rFonts w:ascii="Calibri" w:cs="Calibri" w:eastAsia="Calibri" w:hAnsi="Calibri"/>
          <w:color w:val="5F6368"/>
          <w:sz w:val="21"/>
          <w:szCs w:val="21"/>
        </w:rPr>
        <w:t xml:space="preserve">Following termination of the Agreement, Bayshire OS will make Customer Personal Data available for export for 30 days, after which it will delete or anonymize Customer Personal Data within a further 60 days, except to the extent retention is required by applicable law, in which case Bayshire OS will continue to protect it under this DPA for as long as it is retained.</w:t>
      </w:r>
    </w:p>
    <w:p>
      <w:pPr>
        <w:pStyle w:val="Heading1"/>
        <w:pBdr>
          <w:top w:val="single" w:color="E3E3E3" w:sz="4" w:space="8"/>
        </w:pBdr>
        <w:spacing w:after="140" w:before="360"/>
      </w:pPr>
      <w:r>
        <w:rPr>
          <w:rFonts w:ascii="Calibri" w:cs="Calibri" w:eastAsia="Calibri" w:hAnsi="Calibri"/>
          <w:b/>
          <w:bCs/>
          <w:color w:val="1F1F1F"/>
          <w:sz w:val="25"/>
          <w:szCs w:val="25"/>
        </w:rPr>
        <w:t xml:space="preserve">13. Liability</w:t>
      </w:r>
    </w:p>
    <w:p>
      <w:pPr>
        <w:spacing w:after="160" w:line="300"/>
      </w:pPr>
      <w:r>
        <w:rPr>
          <w:rFonts w:ascii="Calibri" w:cs="Calibri" w:eastAsia="Calibri" w:hAnsi="Calibri"/>
          <w:color w:val="5F6368"/>
          <w:sz w:val="21"/>
          <w:szCs w:val="21"/>
        </w:rPr>
        <w:t xml:space="preserve">Each party's liability arising out of this DPA is subject to the limitations and exclusions of liability set out in the Terms of Service or MSA, as applicable.</w:t>
      </w:r>
    </w:p>
    <w:p>
      <w:pPr>
        <w:pStyle w:val="Heading1"/>
        <w:pBdr>
          <w:top w:val="single" w:color="E3E3E3" w:sz="4" w:space="8"/>
        </w:pBdr>
        <w:spacing w:after="140" w:before="360"/>
      </w:pPr>
      <w:r>
        <w:rPr>
          <w:rFonts w:ascii="Calibri" w:cs="Calibri" w:eastAsia="Calibri" w:hAnsi="Calibri"/>
          <w:b/>
          <w:bCs/>
          <w:color w:val="1F1F1F"/>
          <w:sz w:val="25"/>
          <w:szCs w:val="25"/>
        </w:rPr>
        <w:t xml:space="preserve">14. Term</w:t>
      </w:r>
    </w:p>
    <w:p>
      <w:pPr>
        <w:spacing w:after="160" w:line="300"/>
      </w:pPr>
      <w:r>
        <w:rPr>
          <w:rFonts w:ascii="Calibri" w:cs="Calibri" w:eastAsia="Calibri" w:hAnsi="Calibri"/>
          <w:color w:val="5F6368"/>
          <w:sz w:val="21"/>
          <w:szCs w:val="21"/>
        </w:rPr>
        <w:t xml:space="preserve">This DPA takes effect on the date Customer first accepts the Terms of Service or an Order Form referencing it, and remains in effect for as long as Bayshire OS Processes Customer Personal Data on Customer's behalf.</w:t>
      </w:r>
    </w:p>
    <w:p>
      <w:pPr>
        <w:pStyle w:val="Heading1"/>
        <w:pBdr>
          <w:top w:val="single" w:color="E3E3E3" w:sz="4" w:space="8"/>
        </w:pBdr>
        <w:spacing w:after="140" w:before="360"/>
      </w:pPr>
      <w:r>
        <w:rPr>
          <w:rFonts w:ascii="Calibri" w:cs="Calibri" w:eastAsia="Calibri" w:hAnsi="Calibri"/>
          <w:b/>
          <w:bCs/>
          <w:color w:val="1F1F1F"/>
          <w:sz w:val="25"/>
          <w:szCs w:val="25"/>
        </w:rPr>
        <w:t xml:space="preserve">Annex I - Details of Processing</w:t>
      </w:r>
    </w:p>
    <w:tbl>
      <w:tblPr>
        <w:tblW w:type="dxa" w:w="9400"/>
        <w:tblBorders>
          <w:top w:val="single" w:color="E3E3E3" w:sz="4"/>
          <w:left w:val="single" w:color="E3E3E3" w:sz="4"/>
          <w:bottom w:val="single" w:color="E3E3E3" w:sz="4"/>
          <w:right w:val="single" w:color="E3E3E3" w:sz="4"/>
          <w:insideH w:val="single" w:color="E3E3E3" w:sz="4"/>
          <w:insideV w:val="single" w:color="E3E3E3" w:sz="4"/>
        </w:tblBorders>
      </w:tblPr>
      <w:tblGrid>
        <w:gridCol w:w="2600"/>
        <w:gridCol w:w="6800"/>
      </w:tblGrid>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Subject matter</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Provision of the Bayshire OS self-storage facility management platform.</w:t>
            </w:r>
          </w:p>
        </w:tc>
      </w:tr>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Duration</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For the term of the Agreement, plus the retention/deletion period in Section 12.</w:t>
            </w:r>
          </w:p>
        </w:tc>
      </w:tr>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Nature &amp; purpose</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Hosting, storage, and processing of operational records to enable Customer to manage units, leads, contracts, payments, and communications.</w:t>
            </w:r>
          </w:p>
        </w:tc>
      </w:tr>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Categories of Data Subjects</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Customer's tenants and lead prospects; Customer's authorized users (staff).</w:t>
            </w:r>
          </w:p>
        </w:tc>
      </w:tr>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Categories of Personal Data</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Name, phone number, email, WhatsApp message content, unit assignment, contract and payment records, and other data Customer chooses to enter.</w:t>
            </w:r>
          </w:p>
        </w:tc>
      </w:tr>
      <w:t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Special categories</w:t>
            </w:r>
          </w:p>
        </w:tc>
        <w:tc>
          <w:tcPr>
            <w:tcW w:type="dxa" w:w="6800"/>
            <w:tcMar>
              <w:top w:type="dxa" w:w="100"/>
              <w:left w:type="dxa" w:w="120"/>
              <w:bottom w:type="dxa" w:w="100"/>
              <w:right w:type="dxa" w:w="120"/>
            </w:tcMar>
          </w:tcPr>
          <w:p>
            <w:r>
              <w:rPr>
                <w:rFonts w:ascii="Calibri" w:cs="Calibri" w:eastAsia="Calibri" w:hAnsi="Calibri"/>
                <w:color w:val="5F6368"/>
                <w:sz w:val="18"/>
                <w:szCs w:val="18"/>
              </w:rPr>
              <w:t xml:space="preserve">None contemplated; Customer should not submit special category data through the Service.</w:t>
            </w:r>
          </w:p>
        </w:tc>
      </w:tr>
    </w:tbl>
    <w:p>
      <w:pPr>
        <w:spacing w:after="240"/>
      </w:pPr>
    </w:p>
    <w:p>
      <w:pPr>
        <w:pStyle w:val="Heading1"/>
        <w:pBdr>
          <w:top w:val="single" w:color="E3E3E3" w:sz="4" w:space="8"/>
        </w:pBdr>
        <w:spacing w:after="140" w:before="360"/>
      </w:pPr>
      <w:r>
        <w:rPr>
          <w:rFonts w:ascii="Calibri" w:cs="Calibri" w:eastAsia="Calibri" w:hAnsi="Calibri"/>
          <w:b/>
          <w:bCs/>
          <w:color w:val="1F1F1F"/>
          <w:sz w:val="25"/>
          <w:szCs w:val="25"/>
        </w:rPr>
        <w:t xml:space="preserve">Annex II - Technical &amp; Organizational Measures</w:t>
      </w:r>
    </w:p>
    <w:p>
      <w:pPr>
        <w:pStyle w:val="ListParagraph"/>
        <w:numPr>
          <w:ilvl w:val="0"/>
          <w:numId w:val="1"/>
        </w:numPr>
        <w:spacing w:after="90" w:line="290"/>
      </w:pPr>
      <w:r>
        <w:rPr>
          <w:rFonts w:ascii="Calibri" w:cs="Calibri" w:eastAsia="Calibri" w:hAnsi="Calibri"/>
          <w:b/>
          <w:bCs/>
          <w:color w:val="1F1F1F"/>
          <w:sz w:val="21"/>
          <w:szCs w:val="21"/>
        </w:rPr>
        <w:t xml:space="preserve">Encryption: </w:t>
      </w:r>
      <w:r>
        <w:rPr>
          <w:rFonts w:ascii="Calibri" w:cs="Calibri" w:eastAsia="Calibri" w:hAnsi="Calibri"/>
          <w:color w:val="5F6368"/>
          <w:sz w:val="21"/>
          <w:szCs w:val="21"/>
        </w:rPr>
        <w:t xml:space="preserve">data encrypted in transit (TLS) and at rest.</w:t>
      </w:r>
    </w:p>
    <w:p>
      <w:pPr>
        <w:pStyle w:val="ListParagraph"/>
        <w:numPr>
          <w:ilvl w:val="0"/>
          <w:numId w:val="1"/>
        </w:numPr>
        <w:spacing w:after="90" w:line="290"/>
      </w:pPr>
      <w:r>
        <w:rPr>
          <w:rFonts w:ascii="Calibri" w:cs="Calibri" w:eastAsia="Calibri" w:hAnsi="Calibri"/>
          <w:b/>
          <w:bCs/>
          <w:color w:val="1F1F1F"/>
          <w:sz w:val="21"/>
          <w:szCs w:val="21"/>
        </w:rPr>
        <w:t xml:space="preserve">Access control: </w:t>
      </w:r>
      <w:r>
        <w:rPr>
          <w:rFonts w:ascii="Calibri" w:cs="Calibri" w:eastAsia="Calibri" w:hAnsi="Calibri"/>
          <w:color w:val="5F6368"/>
          <w:sz w:val="21"/>
          <w:szCs w:val="21"/>
        </w:rPr>
        <w:t xml:space="preserve">role-based access, unique credentials, and periodic access review for Bayshire OS personnel.</w:t>
      </w:r>
    </w:p>
    <w:p>
      <w:pPr>
        <w:pStyle w:val="ListParagraph"/>
        <w:numPr>
          <w:ilvl w:val="0"/>
          <w:numId w:val="1"/>
        </w:numPr>
        <w:spacing w:after="90" w:line="290"/>
      </w:pPr>
      <w:r>
        <w:rPr>
          <w:rFonts w:ascii="Calibri" w:cs="Calibri" w:eastAsia="Calibri" w:hAnsi="Calibri"/>
          <w:b/>
          <w:bCs/>
          <w:color w:val="1F1F1F"/>
          <w:sz w:val="21"/>
          <w:szCs w:val="21"/>
        </w:rPr>
        <w:t xml:space="preserve">Network security: </w:t>
      </w:r>
      <w:r>
        <w:rPr>
          <w:rFonts w:ascii="Calibri" w:cs="Calibri" w:eastAsia="Calibri" w:hAnsi="Calibri"/>
          <w:color w:val="5F6368"/>
          <w:sz w:val="21"/>
          <w:szCs w:val="21"/>
        </w:rPr>
        <w:t xml:space="preserve">firewalled hosting environment with logging and monitoring of administrative access.</w:t>
      </w:r>
    </w:p>
    <w:p>
      <w:pPr>
        <w:pStyle w:val="ListParagraph"/>
        <w:numPr>
          <w:ilvl w:val="0"/>
          <w:numId w:val="1"/>
        </w:numPr>
        <w:spacing w:after="90" w:line="290"/>
      </w:pPr>
      <w:r>
        <w:rPr>
          <w:rFonts w:ascii="Calibri" w:cs="Calibri" w:eastAsia="Calibri" w:hAnsi="Calibri"/>
          <w:b/>
          <w:bCs/>
          <w:color w:val="1F1F1F"/>
          <w:sz w:val="21"/>
          <w:szCs w:val="21"/>
        </w:rPr>
        <w:t xml:space="preserve">Application security: </w:t>
      </w:r>
      <w:r>
        <w:rPr>
          <w:rFonts w:ascii="Calibri" w:cs="Calibri" w:eastAsia="Calibri" w:hAnsi="Calibri"/>
          <w:color w:val="5F6368"/>
          <w:sz w:val="21"/>
          <w:szCs w:val="21"/>
        </w:rPr>
        <w:t xml:space="preserve">secure development practices and periodic vulnerability review.</w:t>
      </w:r>
    </w:p>
    <w:p>
      <w:pPr>
        <w:pStyle w:val="ListParagraph"/>
        <w:numPr>
          <w:ilvl w:val="0"/>
          <w:numId w:val="1"/>
        </w:numPr>
        <w:spacing w:after="90" w:line="290"/>
      </w:pPr>
      <w:r>
        <w:rPr>
          <w:rFonts w:ascii="Calibri" w:cs="Calibri" w:eastAsia="Calibri" w:hAnsi="Calibri"/>
          <w:b/>
          <w:bCs/>
          <w:color w:val="1F1F1F"/>
          <w:sz w:val="21"/>
          <w:szCs w:val="21"/>
        </w:rPr>
        <w:t xml:space="preserve">Availability: </w:t>
      </w:r>
      <w:r>
        <w:rPr>
          <w:rFonts w:ascii="Calibri" w:cs="Calibri" w:eastAsia="Calibri" w:hAnsi="Calibri"/>
          <w:color w:val="5F6368"/>
          <w:sz w:val="21"/>
          <w:szCs w:val="21"/>
        </w:rPr>
        <w:t xml:space="preserve">regular backups and a documented disaster-recovery process.</w:t>
      </w:r>
    </w:p>
    <w:p>
      <w:pPr>
        <w:pStyle w:val="ListParagraph"/>
        <w:numPr>
          <w:ilvl w:val="0"/>
          <w:numId w:val="1"/>
        </w:numPr>
        <w:spacing w:after="90" w:line="290"/>
      </w:pPr>
      <w:r>
        <w:rPr>
          <w:rFonts w:ascii="Calibri" w:cs="Calibri" w:eastAsia="Calibri" w:hAnsi="Calibri"/>
          <w:b/>
          <w:bCs/>
          <w:color w:val="1F1F1F"/>
          <w:sz w:val="21"/>
          <w:szCs w:val="21"/>
        </w:rPr>
        <w:t xml:space="preserve">Incident response: </w:t>
      </w:r>
      <w:r>
        <w:rPr>
          <w:rFonts w:ascii="Calibri" w:cs="Calibri" w:eastAsia="Calibri" w:hAnsi="Calibri"/>
          <w:color w:val="5F6368"/>
          <w:sz w:val="21"/>
          <w:szCs w:val="21"/>
        </w:rPr>
        <w:t xml:space="preserve">a documented process for detecting, triaging, and notifying Personal Data Breaches per Section 8.</w:t>
      </w:r>
    </w:p>
    <w:p>
      <w:pPr>
        <w:pStyle w:val="ListParagraph"/>
        <w:numPr>
          <w:ilvl w:val="0"/>
          <w:numId w:val="1"/>
        </w:numPr>
        <w:spacing w:after="90" w:line="290"/>
      </w:pPr>
      <w:r>
        <w:rPr>
          <w:rFonts w:ascii="Calibri" w:cs="Calibri" w:eastAsia="Calibri" w:hAnsi="Calibri"/>
          <w:b/>
          <w:bCs/>
          <w:color w:val="1F1F1F"/>
          <w:sz w:val="21"/>
          <w:szCs w:val="21"/>
        </w:rPr>
        <w:t xml:space="preserve">Personnel: </w:t>
      </w:r>
      <w:r>
        <w:rPr>
          <w:rFonts w:ascii="Calibri" w:cs="Calibri" w:eastAsia="Calibri" w:hAnsi="Calibri"/>
          <w:color w:val="5F6368"/>
          <w:sz w:val="21"/>
          <w:szCs w:val="21"/>
        </w:rPr>
        <w:t xml:space="preserve">confidentiality obligations and security awareness training for staff with data access.</w:t>
      </w:r>
    </w:p>
    <w:p>
      <w:pPr>
        <w:pStyle w:val="Heading1"/>
        <w:pBdr>
          <w:top w:val="single" w:color="E3E3E3" w:sz="4" w:space="8"/>
        </w:pBdr>
        <w:spacing w:after="140" w:before="360"/>
      </w:pPr>
      <w:r>
        <w:rPr>
          <w:rFonts w:ascii="Calibri" w:cs="Calibri" w:eastAsia="Calibri" w:hAnsi="Calibri"/>
          <w:b/>
          <w:bCs/>
          <w:color w:val="1F1F1F"/>
          <w:sz w:val="25"/>
          <w:szCs w:val="25"/>
        </w:rPr>
        <w:t xml:space="preserve">Annex III - Authorized Sub-processors</w:t>
      </w:r>
    </w:p>
    <w:tbl>
      <w:tblPr>
        <w:tblW w:type="dxa" w:w="9400"/>
        <w:tblBorders>
          <w:top w:val="single" w:color="E3E3E3" w:sz="4"/>
          <w:left w:val="single" w:color="E3E3E3" w:sz="4"/>
          <w:bottom w:val="single" w:color="E3E3E3" w:sz="4"/>
          <w:right w:val="single" w:color="E3E3E3" w:sz="4"/>
          <w:insideH w:val="single" w:color="E3E3E3" w:sz="4"/>
          <w:insideV w:val="single" w:color="E3E3E3" w:sz="4"/>
        </w:tblBorders>
      </w:tblPr>
      <w:tblGrid>
        <w:gridCol w:w="2600"/>
        <w:gridCol w:w="4800"/>
        <w:gridCol w:w="2000"/>
      </w:tblGrid>
      <w:tr>
        <w:trPr>
          <w:tblHeader/>
        </w:trPr>
        <w:tc>
          <w:tcPr>
            <w:tcW w:type="dxa" w:w="26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Sub-processor</w:t>
            </w:r>
          </w:p>
        </w:tc>
        <w:tc>
          <w:tcPr>
            <w:tcW w:type="dxa" w:w="4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Purpose</w:t>
            </w:r>
          </w:p>
        </w:tc>
        <w:tc>
          <w:tcPr>
            <w:tcW w:type="dxa" w:w="20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Location</w:t>
            </w:r>
          </w:p>
        </w:tc>
      </w:tr>
      <w:tr>
        <w:tc>
          <w:tcPr>
            <w:tcW w:type="dxa" w:w="2600"/>
            <w:tcMar>
              <w:top w:type="dxa" w:w="100"/>
              <w:left w:type="dxa" w:w="120"/>
              <w:bottom w:type="dxa" w:w="100"/>
              <w:right w:type="dxa" w:w="120"/>
            </w:tcMar>
          </w:tcPr>
          <w:p>
            <w:r>
              <w:rPr>
                <w:rFonts w:ascii="Calibri" w:cs="Calibri" w:eastAsia="Calibri" w:hAnsi="Calibri"/>
                <w:color w:val="5F6368"/>
                <w:sz w:val="18"/>
                <w:szCs w:val="18"/>
              </w:rPr>
              <w:t xml:space="preserve">Cloud hosting provider</w:t>
            </w:r>
          </w:p>
        </w:tc>
        <w:tc>
          <w:tcPr>
            <w:tcW w:type="dxa" w:w="4800"/>
            <w:tcMar>
              <w:top w:type="dxa" w:w="100"/>
              <w:left w:type="dxa" w:w="120"/>
              <w:bottom w:type="dxa" w:w="100"/>
              <w:right w:type="dxa" w:w="120"/>
            </w:tcMar>
          </w:tcPr>
          <w:p>
            <w:r>
              <w:rPr>
                <w:rFonts w:ascii="Calibri" w:cs="Calibri" w:eastAsia="Calibri" w:hAnsi="Calibri"/>
                <w:color w:val="5F6368"/>
                <w:sz w:val="18"/>
                <w:szCs w:val="18"/>
              </w:rPr>
              <w:t xml:space="preserve">Application hosting and data storage</w:t>
            </w:r>
          </w:p>
        </w:tc>
        <w:tc>
          <w:tcPr>
            <w:tcW w:type="dxa" w:w="2000"/>
            <w:tcMar>
              <w:top w:type="dxa" w:w="100"/>
              <w:left w:type="dxa" w:w="120"/>
              <w:bottom w:type="dxa" w:w="100"/>
              <w:right w:type="dxa" w:w="120"/>
            </w:tcMar>
          </w:tcPr>
          <w:p>
            <w:r>
              <w:rPr>
                <w:rFonts w:ascii="Calibri" w:cs="Calibri" w:eastAsia="Calibri" w:hAnsi="Calibri"/>
                <w:color w:val="5F6368"/>
                <w:sz w:val="18"/>
                <w:szCs w:val="18"/>
              </w:rPr>
              <w:t xml:space="preserve">[to be named per deployment region]</w:t>
            </w:r>
          </w:p>
        </w:tc>
      </w:tr>
      <w:tr>
        <w:tc>
          <w:tcPr>
            <w:tcW w:type="dxa" w:w="2600"/>
            <w:tcMar>
              <w:top w:type="dxa" w:w="100"/>
              <w:left w:type="dxa" w:w="120"/>
              <w:bottom w:type="dxa" w:w="100"/>
              <w:right w:type="dxa" w:w="120"/>
            </w:tcMar>
          </w:tcPr>
          <w:p>
            <w:r>
              <w:rPr>
                <w:rFonts w:ascii="Calibri" w:cs="Calibri" w:eastAsia="Calibri" w:hAnsi="Calibri"/>
                <w:color w:val="5F6368"/>
                <w:sz w:val="18"/>
                <w:szCs w:val="18"/>
              </w:rPr>
              <w:t xml:space="preserve">Meta Platforms, Inc.</w:t>
            </w:r>
          </w:p>
        </w:tc>
        <w:tc>
          <w:tcPr>
            <w:tcW w:type="dxa" w:w="4800"/>
            <w:tcMar>
              <w:top w:type="dxa" w:w="100"/>
              <w:left w:type="dxa" w:w="120"/>
              <w:bottom w:type="dxa" w:w="100"/>
              <w:right w:type="dxa" w:w="120"/>
            </w:tcMar>
          </w:tcPr>
          <w:p>
            <w:r>
              <w:rPr>
                <w:rFonts w:ascii="Calibri" w:cs="Calibri" w:eastAsia="Calibri" w:hAnsi="Calibri"/>
                <w:color w:val="5F6368"/>
                <w:sz w:val="18"/>
                <w:szCs w:val="18"/>
              </w:rPr>
              <w:t xml:space="preserve">WhatsApp Business messaging integration (where Customer enables it)</w:t>
            </w:r>
          </w:p>
        </w:tc>
        <w:tc>
          <w:tcPr>
            <w:tcW w:type="dxa" w:w="2000"/>
            <w:tcMar>
              <w:top w:type="dxa" w:w="100"/>
              <w:left w:type="dxa" w:w="120"/>
              <w:bottom w:type="dxa" w:w="100"/>
              <w:right w:type="dxa" w:w="120"/>
            </w:tcMar>
          </w:tcPr>
          <w:p>
            <w:r>
              <w:rPr>
                <w:rFonts w:ascii="Calibri" w:cs="Calibri" w:eastAsia="Calibri" w:hAnsi="Calibri"/>
                <w:color w:val="5F6368"/>
                <w:sz w:val="18"/>
                <w:szCs w:val="18"/>
              </w:rPr>
              <w:t xml:space="preserve">United States / global</w:t>
            </w:r>
          </w:p>
        </w:tc>
      </w:tr>
      <w:tr>
        <w:tc>
          <w:tcPr>
            <w:tcW w:type="dxa" w:w="2600"/>
            <w:tcMar>
              <w:top w:type="dxa" w:w="100"/>
              <w:left w:type="dxa" w:w="120"/>
              <w:bottom w:type="dxa" w:w="100"/>
              <w:right w:type="dxa" w:w="120"/>
            </w:tcMar>
          </w:tcPr>
          <w:p>
            <w:r>
              <w:rPr>
                <w:rFonts w:ascii="Calibri" w:cs="Calibri" w:eastAsia="Calibri" w:hAnsi="Calibri"/>
                <w:color w:val="5F6368"/>
                <w:sz w:val="18"/>
                <w:szCs w:val="18"/>
              </w:rPr>
              <w:t xml:space="preserve">Google LLC</w:t>
            </w:r>
          </w:p>
        </w:tc>
        <w:tc>
          <w:tcPr>
            <w:tcW w:type="dxa" w:w="4800"/>
            <w:tcMar>
              <w:top w:type="dxa" w:w="100"/>
              <w:left w:type="dxa" w:w="120"/>
              <w:bottom w:type="dxa" w:w="100"/>
              <w:right w:type="dxa" w:w="120"/>
            </w:tcMar>
          </w:tcPr>
          <w:p>
            <w:r>
              <w:rPr>
                <w:rFonts w:ascii="Calibri" w:cs="Calibri" w:eastAsia="Calibri" w:hAnsi="Calibri"/>
                <w:color w:val="5F6368"/>
                <w:sz w:val="18"/>
                <w:szCs w:val="18"/>
              </w:rPr>
              <w:t xml:space="preserve">Google Contacts sync and Google Drive document storage (where Customer enables it)</w:t>
            </w:r>
          </w:p>
        </w:tc>
        <w:tc>
          <w:tcPr>
            <w:tcW w:type="dxa" w:w="2000"/>
            <w:tcMar>
              <w:top w:type="dxa" w:w="100"/>
              <w:left w:type="dxa" w:w="120"/>
              <w:bottom w:type="dxa" w:w="100"/>
              <w:right w:type="dxa" w:w="120"/>
            </w:tcMar>
          </w:tcPr>
          <w:p>
            <w:r>
              <w:rPr>
                <w:rFonts w:ascii="Calibri" w:cs="Calibri" w:eastAsia="Calibri" w:hAnsi="Calibri"/>
                <w:color w:val="5F6368"/>
                <w:sz w:val="18"/>
                <w:szCs w:val="18"/>
              </w:rPr>
              <w:t xml:space="preserve">United States / global</w:t>
            </w:r>
          </w:p>
        </w:tc>
      </w:tr>
      <w:tr>
        <w:tc>
          <w:tcPr>
            <w:tcW w:type="dxa" w:w="2600"/>
            <w:tcMar>
              <w:top w:type="dxa" w:w="100"/>
              <w:left w:type="dxa" w:w="120"/>
              <w:bottom w:type="dxa" w:w="100"/>
              <w:right w:type="dxa" w:w="120"/>
            </w:tcMar>
          </w:tcPr>
          <w:p>
            <w:r>
              <w:rPr>
                <w:rFonts w:ascii="Calibri" w:cs="Calibri" w:eastAsia="Calibri" w:hAnsi="Calibri"/>
                <w:color w:val="5F6368"/>
                <w:sz w:val="18"/>
                <w:szCs w:val="18"/>
              </w:rPr>
              <w:t xml:space="preserve">DocuSign, Inc.</w:t>
            </w:r>
          </w:p>
        </w:tc>
        <w:tc>
          <w:tcPr>
            <w:tcW w:type="dxa" w:w="4800"/>
            <w:tcMar>
              <w:top w:type="dxa" w:w="100"/>
              <w:left w:type="dxa" w:w="120"/>
              <w:bottom w:type="dxa" w:w="100"/>
              <w:right w:type="dxa" w:w="120"/>
            </w:tcMar>
          </w:tcPr>
          <w:p>
            <w:r>
              <w:rPr>
                <w:rFonts w:ascii="Calibri" w:cs="Calibri" w:eastAsia="Calibri" w:hAnsi="Calibri"/>
                <w:color w:val="5F6368"/>
                <w:sz w:val="18"/>
                <w:szCs w:val="18"/>
              </w:rPr>
              <w:t xml:space="preserve">Contract e-signature routing (where Customer enables it)</w:t>
            </w:r>
          </w:p>
        </w:tc>
        <w:tc>
          <w:tcPr>
            <w:tcW w:type="dxa" w:w="2000"/>
            <w:tcMar>
              <w:top w:type="dxa" w:w="100"/>
              <w:left w:type="dxa" w:w="120"/>
              <w:bottom w:type="dxa" w:w="100"/>
              <w:right w:type="dxa" w:w="120"/>
            </w:tcMar>
          </w:tcPr>
          <w:p>
            <w:r>
              <w:rPr>
                <w:rFonts w:ascii="Calibri" w:cs="Calibri" w:eastAsia="Calibri" w:hAnsi="Calibri"/>
                <w:color w:val="5F6368"/>
                <w:sz w:val="18"/>
                <w:szCs w:val="18"/>
              </w:rPr>
              <w:t xml:space="preserve">United States / global</w:t>
            </w:r>
          </w:p>
        </w:tc>
      </w:tr>
      <w:tr>
        <w:tc>
          <w:tcPr>
            <w:tcW w:type="dxa" w:w="2600"/>
            <w:tcMar>
              <w:top w:type="dxa" w:w="100"/>
              <w:left w:type="dxa" w:w="120"/>
              <w:bottom w:type="dxa" w:w="100"/>
              <w:right w:type="dxa" w:w="120"/>
            </w:tcMar>
          </w:tcPr>
          <w:p>
            <w:r>
              <w:rPr>
                <w:rFonts w:ascii="Calibri" w:cs="Calibri" w:eastAsia="Calibri" w:hAnsi="Calibri"/>
                <w:color w:val="5F6368"/>
                <w:sz w:val="18"/>
                <w:szCs w:val="18"/>
              </w:rPr>
              <w:t xml:space="preserve">Payment processor</w:t>
            </w:r>
          </w:p>
        </w:tc>
        <w:tc>
          <w:tcPr>
            <w:tcW w:type="dxa" w:w="4800"/>
            <w:tcMar>
              <w:top w:type="dxa" w:w="100"/>
              <w:left w:type="dxa" w:w="120"/>
              <w:bottom w:type="dxa" w:w="100"/>
              <w:right w:type="dxa" w:w="120"/>
            </w:tcMar>
          </w:tcPr>
          <w:p>
            <w:r>
              <w:rPr>
                <w:rFonts w:ascii="Calibri" w:cs="Calibri" w:eastAsia="Calibri" w:hAnsi="Calibri"/>
                <w:color w:val="5F6368"/>
                <w:sz w:val="18"/>
                <w:szCs w:val="18"/>
              </w:rPr>
              <w:t xml:space="preserve">Subscription billing</w:t>
            </w:r>
          </w:p>
        </w:tc>
        <w:tc>
          <w:tcPr>
            <w:tcW w:type="dxa" w:w="2000"/>
            <w:tcMar>
              <w:top w:type="dxa" w:w="100"/>
              <w:left w:type="dxa" w:w="120"/>
              <w:bottom w:type="dxa" w:w="100"/>
              <w:right w:type="dxa" w:w="120"/>
            </w:tcMar>
          </w:tcPr>
          <w:p>
            <w:r>
              <w:rPr>
                <w:rFonts w:ascii="Calibri" w:cs="Calibri" w:eastAsia="Calibri" w:hAnsi="Calibri"/>
                <w:color w:val="5F6368"/>
                <w:sz w:val="18"/>
                <w:szCs w:val="18"/>
              </w:rPr>
              <w:t xml:space="preserve">[to be named]</w:t>
            </w:r>
          </w:p>
        </w:tc>
      </w:tr>
    </w:tbl>
    <w:p>
      <w:pPr>
        <w:spacing w:after="160"/>
      </w:pPr>
    </w:p>
    <w:p>
      <w:pPr>
        <w:spacing w:after="160" w:line="300"/>
      </w:pPr>
      <w:r>
        <w:rPr>
          <w:rFonts w:ascii="Calibri" w:cs="Calibri" w:eastAsia="Calibri" w:hAnsi="Calibri"/>
          <w:color w:val="5F6368"/>
          <w:sz w:val="21"/>
          <w:szCs w:val="21"/>
        </w:rPr>
        <w:t xml:space="preserve">Third-party integrations (WhatsApp, Google, DocuSign) act as Sub-processors only with respect to data flows Customer actively enables; Customer's own use of those platforms is separately governed by their terms.</w:t>
      </w:r>
    </w:p>
    <w:p>
      <w:pPr>
        <w:spacing w:after="280"/>
      </w:pPr>
    </w:p>
    <w:tbl>
      <w:tblPr>
        <w:tblW w:type="pct" w:w="100%"/>
        <w:tblBorders>
          <w:top w:val="single" w:color="E3E3E3" w:sz="4"/>
          <w:left w:val="single" w:color="E3E3E3" w:sz="4"/>
          <w:bottom w:val="single" w:color="E3E3E3" w:sz="4"/>
          <w:right w:val="single" w:color="E3E3E3" w:sz="4"/>
          <w:insideH w:val="none" w:color="FFFFFF" w:sz="0"/>
          <w:insideV w:val="none" w:color="FFFFFF" w:sz="0"/>
        </w:tblBorders>
      </w:tblPr>
      <w:tblGrid>
        <w:gridCol w:w="100"/>
      </w:tblGrid>
      <w:tr>
        <w:tc>
          <w:tcPr>
            <w:shd w:fill="F1F3F4" w:val="clear"/>
            <w:tcMar>
              <w:top w:type="dxa" w:w="160"/>
              <w:left w:type="dxa" w:w="200"/>
              <w:bottom w:type="dxa" w:w="160"/>
              <w:right w:type="dxa" w:w="200"/>
            </w:tcMar>
          </w:tcPr>
          <w:p>
            <w:pPr>
              <w:spacing w:line="280"/>
            </w:pPr>
            <w:r>
              <w:rPr>
                <w:rFonts w:ascii="Calibri" w:cs="Calibri" w:eastAsia="Calibri" w:hAnsi="Calibri"/>
                <w:i/>
                <w:iCs/>
                <w:color w:val="5F6368"/>
                <w:sz w:val="18"/>
                <w:szCs w:val="18"/>
              </w:rPr>
              <w:t xml:space="preserve">This Data Processing Agreement is a professionally structured template. It is not yet an executed contract: the parties, effective date, hosting sub-processor and region, and applicable law references should be completed, and the document reviewed by qualified data protection counsel, before signature.</w:t>
            </w:r>
          </w:p>
        </w:tc>
      </w:tr>
    </w:tbl>
    <w:p>
      <w:pPr>
        <w:spacing w:after="360"/>
      </w:pPr>
    </w:p>
    <w:tbl>
      <w:tblPr>
        <w:tblW w:type="dxa" w:w="94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Borders>
              <w:top w:val="single" w:color="1F1F1F" w:sz="6"/>
            </w:tcBorders>
            <w:tcMar>
              <w:top w:type="dxa" w:w="200"/>
              <w:left w:type="dxa" w:w="0"/>
              <w:bottom w:type="dxa" w:w="0"/>
              <w:right w:type="dxa" w:w="200"/>
            </w:tcMar>
          </w:tcPr>
          <w:p>
            <w:pPr>
              <w:spacing w:after="60" w:before="120"/>
            </w:pPr>
            <w:r>
              <w:rPr>
                <w:rFonts w:ascii="Calibri" w:cs="Calibri" w:eastAsia="Calibri" w:hAnsi="Calibri"/>
                <w:b/>
                <w:bCs/>
                <w:color w:val="1F1F1F"/>
                <w:sz w:val="21"/>
                <w:szCs w:val="21"/>
              </w:rPr>
              <w:t xml:space="preserve">Bayshire OS FZE</w:t>
            </w:r>
          </w:p>
          <w:p>
            <w:pPr>
              <w:spacing w:after="60"/>
            </w:pPr>
            <w:r>
              <w:rPr>
                <w:rFonts w:ascii="Calibri" w:cs="Calibri" w:eastAsia="Calibri" w:hAnsi="Calibri"/>
                <w:color w:val="5F6368"/>
                <w:sz w:val="21"/>
                <w:szCs w:val="21"/>
              </w:rPr>
              <w:t xml:space="preserve">Name: ______________________________</w:t>
            </w:r>
          </w:p>
          <w:p>
            <w:pPr>
              <w:spacing w:after="60"/>
            </w:pPr>
            <w:r>
              <w:rPr>
                <w:rFonts w:ascii="Calibri" w:cs="Calibri" w:eastAsia="Calibri" w:hAnsi="Calibri"/>
                <w:color w:val="5F6368"/>
                <w:sz w:val="21"/>
                <w:szCs w:val="21"/>
              </w:rPr>
              <w:t xml:space="preserve">Title: ______________________________</w:t>
            </w:r>
          </w:p>
          <w:p>
            <w:pPr>
              <w:spacing w:after="60"/>
            </w:pPr>
            <w:r>
              <w:rPr>
                <w:rFonts w:ascii="Calibri" w:cs="Calibri" w:eastAsia="Calibri" w:hAnsi="Calibri"/>
                <w:color w:val="5F6368"/>
                <w:sz w:val="21"/>
                <w:szCs w:val="21"/>
              </w:rPr>
              <w:t xml:space="preserve">Date: ______________________________</w:t>
            </w:r>
          </w:p>
        </w:tc>
        <w:tc>
          <w:tcPr>
            <w:tcW w:type="dxa" w:w="4700"/>
            <w:tcBorders>
              <w:top w:val="single" w:color="1F1F1F" w:sz="6"/>
            </w:tcBorders>
            <w:tcMar>
              <w:top w:type="dxa" w:w="200"/>
              <w:left w:type="dxa" w:w="0"/>
              <w:bottom w:type="dxa" w:w="0"/>
              <w:right w:type="dxa" w:w="200"/>
            </w:tcMar>
          </w:tcPr>
          <w:p>
            <w:pPr>
              <w:spacing w:after="60" w:before="120"/>
            </w:pPr>
            <w:r>
              <w:rPr>
                <w:rFonts w:ascii="Calibri" w:cs="Calibri" w:eastAsia="Calibri" w:hAnsi="Calibri"/>
                <w:b/>
                <w:bCs/>
                <w:color w:val="1F1F1F"/>
                <w:sz w:val="21"/>
                <w:szCs w:val="21"/>
              </w:rPr>
              <w:t xml:space="preserve">Customer</w:t>
            </w:r>
          </w:p>
          <w:p>
            <w:pPr>
              <w:spacing w:after="60"/>
            </w:pPr>
            <w:r>
              <w:rPr>
                <w:rFonts w:ascii="Calibri" w:cs="Calibri" w:eastAsia="Calibri" w:hAnsi="Calibri"/>
                <w:color w:val="5F6368"/>
                <w:sz w:val="21"/>
                <w:szCs w:val="21"/>
              </w:rPr>
              <w:t xml:space="preserve">Name: ______________________________</w:t>
            </w:r>
          </w:p>
          <w:p>
            <w:pPr>
              <w:spacing w:after="60"/>
            </w:pPr>
            <w:r>
              <w:rPr>
                <w:rFonts w:ascii="Calibri" w:cs="Calibri" w:eastAsia="Calibri" w:hAnsi="Calibri"/>
                <w:color w:val="5F6368"/>
                <w:sz w:val="21"/>
                <w:szCs w:val="21"/>
              </w:rPr>
              <w:t xml:space="preserve">Title: ______________________________</w:t>
            </w:r>
          </w:p>
          <w:p>
            <w:pPr>
              <w:spacing w:after="60"/>
            </w:pPr>
            <w:r>
              <w:rPr>
                <w:rFonts w:ascii="Calibri" w:cs="Calibri" w:eastAsia="Calibri" w:hAnsi="Calibri"/>
                <w:color w:val="5F6368"/>
                <w:sz w:val="21"/>
                <w:szCs w:val="21"/>
              </w:rPr>
              <w:t xml:space="preserve">Date: ______________________________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68B"/>
        <w:sz w:val="15"/>
        <w:szCs w:val="15"/>
      </w:rPr>
      <w:t xml:space="preserve">Page </w:t>
    </w:r>
    <w:r>
      <w:rPr>
        <w:color w:val="80868B"/>
        <w:sz w:val="15"/>
        <w:szCs w:val="15"/>
      </w:rPr>
      <w:fldChar w:fldCharType="begin"/>
      <w:instrText xml:space="preserve">PAGE</w:instrText>
      <w:fldChar w:fldCharType="separate"/>
      <w:fldChar w:fldCharType="end"/>
    </w:r>
    <w:r>
      <w:rPr>
        <w:color w:val="80868B"/>
        <w:sz w:val="15"/>
        <w:szCs w:val="15"/>
      </w:rPr>
      <w:t xml:space="preserve"> of </w:t>
    </w:r>
    <w:r>
      <w:rPr>
        <w:color w:val="8086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68B"/>
        <w:sz w:val="15"/>
        <w:szCs w:val="15"/>
      </w:rPr>
      <w:t xml:space="preserve">Bayshire OS -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2026-09-18T05:31:28.064Z</dcterms:created>
  <dcterms:modified xsi:type="dcterms:W3CDTF">2026-09-18T05:31:28.065Z</dcterms:modified>
</cp:coreProperties>
</file>

<file path=docProps/custom.xml><?xml version="1.0" encoding="utf-8"?>
<Properties xmlns="http://schemas.openxmlformats.org/officeDocument/2006/custom-properties" xmlns:vt="http://schemas.openxmlformats.org/officeDocument/2006/docPropsVTypes"/>
</file>