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A06E0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Report template:</w:t>
      </w:r>
    </w:p>
    <w:p w14:paraId="37FA06E1" w14:textId="77777777" w:rsidR="00777777" w:rsidRDefault="00777777">
      <w:pPr>
        <w:spacing w:after="0" w:line="240" w:lineRule="auto"/>
        <w:rPr>
          <w:rFonts w:ascii="Calibri" w:eastAsia="Calibri" w:hAnsi="Calibri" w:cs="Calibri"/>
          <w:b/>
        </w:rPr>
      </w:pPr>
    </w:p>
    <w:p w14:paraId="37FA06E2" w14:textId="77777777" w:rsidR="00777777" w:rsidRDefault="0077777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7FA06E3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CT neck with contrast:</w:t>
      </w:r>
    </w:p>
    <w:p w14:paraId="37FA06E4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(4D CT FOR LOCALISATION OF PARATHYROID </w:t>
      </w:r>
      <w:proofErr w:type="gramStart"/>
      <w:r>
        <w:rPr>
          <w:rFonts w:ascii="Arial" w:eastAsia="Arial" w:hAnsi="Arial" w:cs="Arial"/>
          <w:b/>
          <w:color w:val="000000"/>
        </w:rPr>
        <w:t>ADENOMA )</w:t>
      </w:r>
      <w:proofErr w:type="gramEnd"/>
    </w:p>
    <w:p w14:paraId="37FA06E5" w14:textId="77777777" w:rsidR="00777777" w:rsidRDefault="0077777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7FA06E6" w14:textId="77777777" w:rsidR="00777777" w:rsidRDefault="00C116D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Technique: I note that though clinical team has requested a 4D CT, however single phase scan has been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performed.In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particular no pre contrast and arterial phase scan have been performed. This is </w:t>
      </w:r>
      <w:proofErr w:type="gramStart"/>
      <w:r>
        <w:rPr>
          <w:rFonts w:ascii="Arial" w:eastAsia="Arial" w:hAnsi="Arial" w:cs="Arial"/>
          <w:color w:val="000000"/>
        </w:rPr>
        <w:t>reduces</w:t>
      </w:r>
      <w:proofErr w:type="gramEnd"/>
      <w:r>
        <w:rPr>
          <w:rFonts w:ascii="Arial" w:eastAsia="Arial" w:hAnsi="Arial" w:cs="Arial"/>
          <w:color w:val="000000"/>
        </w:rPr>
        <w:t xml:space="preserve"> the sensitivity and specificity of this exam and limits interpretability.</w:t>
      </w:r>
    </w:p>
    <w:p w14:paraId="37FA06E7" w14:textId="77777777" w:rsidR="00777777" w:rsidRDefault="0077777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7FA06E8" w14:textId="77777777" w:rsidR="00777777" w:rsidRDefault="00C116D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Clinical Information: Primary hyperparathyroidism but NM scan show no convincing parathyroid adenoma.</w:t>
      </w:r>
    </w:p>
    <w:p w14:paraId="37FA06E9" w14:textId="77777777" w:rsidR="00777777" w:rsidRDefault="00C116D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Comparison: None. </w:t>
      </w:r>
    </w:p>
    <w:p w14:paraId="37FA06EA" w14:textId="77777777" w:rsidR="00777777" w:rsidRDefault="0077777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7FA06EB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Findings: </w:t>
      </w:r>
    </w:p>
    <w:p w14:paraId="37FA06EC" w14:textId="77777777" w:rsidR="00777777" w:rsidRDefault="00C116D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Thyroid:</w:t>
      </w:r>
    </w:p>
    <w:p w14:paraId="37FA06ED" w14:textId="77777777" w:rsidR="00777777" w:rsidRDefault="00C116D1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thyroid gland is normal in size and morphology with homogeneous attenuation. </w:t>
      </w:r>
    </w:p>
    <w:p w14:paraId="37FA06EE" w14:textId="77777777" w:rsidR="00777777" w:rsidRDefault="00C116D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PARATHYROID:</w:t>
      </w:r>
      <w:r>
        <w:rPr>
          <w:rFonts w:ascii="Arial" w:eastAsia="Arial" w:hAnsi="Arial" w:cs="Arial"/>
          <w:color w:val="000000"/>
        </w:rPr>
        <w:t xml:space="preserve"> </w:t>
      </w:r>
    </w:p>
    <w:p w14:paraId="37FA06EF" w14:textId="77777777" w:rsidR="00777777" w:rsidRDefault="00C116D1">
      <w:pPr>
        <w:numPr>
          <w:ilvl w:val="0"/>
          <w:numId w:val="1"/>
        </w:numPr>
        <w:spacing w:after="0" w:line="240" w:lineRule="auto"/>
        <w:ind w:left="106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number of candidate parathyroid lesions: A total of 5 candidate lesions demonstrated as detailed below-:</w:t>
      </w:r>
    </w:p>
    <w:p w14:paraId="37FA06F0" w14:textId="77777777" w:rsidR="00777777" w:rsidRDefault="00C116D1">
      <w:pPr>
        <w:numPr>
          <w:ilvl w:val="0"/>
          <w:numId w:val="1"/>
        </w:numPr>
        <w:spacing w:after="0" w:line="240" w:lineRule="auto"/>
        <w:ind w:left="178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u w:val="single"/>
        </w:rPr>
        <w:t xml:space="preserve">Candidate lesion # </w:t>
      </w:r>
      <w:proofErr w:type="gramStart"/>
      <w:r>
        <w:rPr>
          <w:rFonts w:ascii="Arial" w:eastAsia="Arial" w:hAnsi="Arial" w:cs="Arial"/>
          <w:i/>
          <w:color w:val="000000"/>
          <w:u w:val="single"/>
        </w:rPr>
        <w:t xml:space="preserve">1 </w:t>
      </w:r>
      <w:r>
        <w:rPr>
          <w:rFonts w:ascii="Arial" w:eastAsia="Arial" w:hAnsi="Arial" w:cs="Arial"/>
          <w:i/>
          <w:color w:val="000000"/>
        </w:rPr>
        <w:t>:</w:t>
      </w:r>
      <w:proofErr w:type="gramEnd"/>
      <w:r>
        <w:rPr>
          <w:rFonts w:ascii="Arial" w:eastAsia="Arial" w:hAnsi="Arial" w:cs="Arial"/>
          <w:i/>
          <w:color w:val="000000"/>
        </w:rPr>
        <w:t xml:space="preserve">  Slice 73/96 (series CT#2). Seen inferior to the </w:t>
      </w:r>
      <w:proofErr w:type="gramStart"/>
      <w:r>
        <w:rPr>
          <w:rFonts w:ascii="Arial" w:eastAsia="Arial" w:hAnsi="Arial" w:cs="Arial"/>
          <w:i/>
          <w:color w:val="000000"/>
        </w:rPr>
        <w:t>cricoid, and</w:t>
      </w:r>
      <w:proofErr w:type="gramEnd"/>
      <w:r>
        <w:rPr>
          <w:rFonts w:ascii="Arial" w:eastAsia="Arial" w:hAnsi="Arial" w:cs="Arial"/>
          <w:i/>
          <w:color w:val="000000"/>
        </w:rPr>
        <w:t xml:space="preserve"> located on left side in relation to the posterior inferior margin of the left lobe of thyroid, partially within the suprasternal notch. Measures - </w:t>
      </w:r>
      <w:r>
        <w:rPr>
          <w:rFonts w:ascii="Arial" w:eastAsia="Arial" w:hAnsi="Arial" w:cs="Arial"/>
          <w:color w:val="000000"/>
        </w:rPr>
        <w:t xml:space="preserve">(CC) 22 mm X (AP) 21mm X (Tr) 16mm. It is clearly anterior to the tracheoesophageal groove. It shows heterogenous attenuation but appears predominantly lower in attenuation relative to thyroid, indicating wash out. Unfortunately </w:t>
      </w:r>
      <w:proofErr w:type="gramStart"/>
      <w:r>
        <w:rPr>
          <w:rFonts w:ascii="Arial" w:eastAsia="Arial" w:hAnsi="Arial" w:cs="Arial"/>
          <w:color w:val="000000"/>
        </w:rPr>
        <w:t>no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precontrast</w:t>
      </w:r>
      <w:proofErr w:type="spellEnd"/>
      <w:r>
        <w:rPr>
          <w:rFonts w:ascii="Arial" w:eastAsia="Arial" w:hAnsi="Arial" w:cs="Arial"/>
          <w:color w:val="000000"/>
        </w:rPr>
        <w:t xml:space="preserve"> and arterial phase available, limiting the assessment. However, overall, this is concerning for left inferior parathyroid adenoma.</w:t>
      </w:r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Level of confidence: High</w:t>
      </w:r>
      <w:r>
        <w:rPr>
          <w:rFonts w:ascii="Arial" w:eastAsia="Arial" w:hAnsi="Arial" w:cs="Arial"/>
          <w:i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Ultrasound correlation can help to further strengthen the diagnostic confidence.</w:t>
      </w:r>
    </w:p>
    <w:p w14:paraId="37FA06F1" w14:textId="77777777" w:rsidR="00777777" w:rsidRDefault="00C116D1">
      <w:pPr>
        <w:numPr>
          <w:ilvl w:val="0"/>
          <w:numId w:val="1"/>
        </w:numPr>
        <w:spacing w:after="0" w:line="240" w:lineRule="auto"/>
        <w:ind w:left="1815" w:hanging="3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Candidate lesion #</w:t>
      </w:r>
      <w:proofErr w:type="gramStart"/>
      <w:r>
        <w:rPr>
          <w:rFonts w:ascii="Arial" w:eastAsia="Arial" w:hAnsi="Arial" w:cs="Arial"/>
          <w:color w:val="000000"/>
          <w:u w:val="single"/>
        </w:rPr>
        <w:t xml:space="preserve">2 </w:t>
      </w:r>
      <w:r>
        <w:rPr>
          <w:rFonts w:ascii="Arial" w:eastAsia="Arial" w:hAnsi="Arial" w:cs="Arial"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t xml:space="preserve"> Slice 74/96, series CT#2. Oval lesion in right paratracheal region in superior mediastinum, anterior to the tracheoesophageal grove. Appears to have central </w:t>
      </w:r>
      <w:proofErr w:type="spellStart"/>
      <w:r>
        <w:rPr>
          <w:rFonts w:ascii="Arial" w:eastAsia="Arial" w:hAnsi="Arial" w:cs="Arial"/>
          <w:color w:val="000000"/>
        </w:rPr>
        <w:t>lucency</w:t>
      </w:r>
      <w:proofErr w:type="spellEnd"/>
      <w:r>
        <w:rPr>
          <w:rFonts w:ascii="Arial" w:eastAsia="Arial" w:hAnsi="Arial" w:cs="Arial"/>
          <w:color w:val="000000"/>
        </w:rPr>
        <w:t xml:space="preserve"> and appears quiet hyperdense - again, no pre contrast and arterial phase available limiting assessment- but </w:t>
      </w:r>
      <w:proofErr w:type="gramStart"/>
      <w:r>
        <w:rPr>
          <w:rFonts w:ascii="Arial" w:eastAsia="Arial" w:hAnsi="Arial" w:cs="Arial"/>
          <w:color w:val="000000"/>
        </w:rPr>
        <w:t>overall</w:t>
      </w:r>
      <w:proofErr w:type="gramEnd"/>
      <w:r>
        <w:rPr>
          <w:rFonts w:ascii="Arial" w:eastAsia="Arial" w:hAnsi="Arial" w:cs="Arial"/>
          <w:color w:val="000000"/>
        </w:rPr>
        <w:t xml:space="preserve"> more likely to be node than ectopic right inferior parathyroid gland</w:t>
      </w:r>
      <w:r>
        <w:rPr>
          <w:rFonts w:ascii="Arial" w:eastAsia="Arial" w:hAnsi="Arial" w:cs="Arial"/>
          <w:b/>
          <w:i/>
          <w:color w:val="000000"/>
        </w:rPr>
        <w:t>. Level of confidence: low (d/d is node).</w:t>
      </w:r>
    </w:p>
    <w:p w14:paraId="37FA06F2" w14:textId="77777777" w:rsidR="00777777" w:rsidRDefault="00C116D1">
      <w:pPr>
        <w:numPr>
          <w:ilvl w:val="0"/>
          <w:numId w:val="1"/>
        </w:numPr>
        <w:spacing w:after="0" w:line="240" w:lineRule="auto"/>
        <w:ind w:left="1815" w:hanging="3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i/>
          <w:color w:val="000000"/>
          <w:u w:val="single"/>
        </w:rPr>
        <w:t xml:space="preserve">Candidate lesion #3 and </w:t>
      </w:r>
      <w:proofErr w:type="gramStart"/>
      <w:r>
        <w:rPr>
          <w:rFonts w:ascii="Arial" w:eastAsia="Arial" w:hAnsi="Arial" w:cs="Arial"/>
          <w:i/>
          <w:color w:val="000000"/>
          <w:u w:val="single"/>
        </w:rPr>
        <w:t xml:space="preserve">4 </w:t>
      </w:r>
      <w:r>
        <w:rPr>
          <w:rFonts w:ascii="Arial" w:eastAsia="Arial" w:hAnsi="Arial" w:cs="Arial"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t xml:space="preserve"> Two lesions , each located anterior to the trachea in superior mediastinum (slice 93/96 Series CT#2). These may represent ectopic inferior </w:t>
      </w:r>
      <w:proofErr w:type="spellStart"/>
      <w:r>
        <w:rPr>
          <w:rFonts w:ascii="Arial" w:eastAsia="Arial" w:hAnsi="Arial" w:cs="Arial"/>
          <w:color w:val="000000"/>
        </w:rPr>
        <w:t>prethyroids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glands ,</w:t>
      </w:r>
      <w:proofErr w:type="gramEnd"/>
      <w:r>
        <w:rPr>
          <w:rFonts w:ascii="Arial" w:eastAsia="Arial" w:hAnsi="Arial" w:cs="Arial"/>
          <w:color w:val="000000"/>
        </w:rPr>
        <w:t xml:space="preserve"> in that case, the left lesion will represent supra numerary ectopic gland. Both measure 8X 9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mm.</w:t>
      </w:r>
      <w:r>
        <w:rPr>
          <w:rFonts w:ascii="Arial" w:eastAsia="Arial" w:hAnsi="Arial" w:cs="Arial"/>
          <w:b/>
          <w:i/>
          <w:color w:val="000000"/>
        </w:rPr>
        <w:t>Level</w:t>
      </w:r>
      <w:proofErr w:type="spellEnd"/>
      <w:proofErr w:type="gramEnd"/>
      <w:r>
        <w:rPr>
          <w:rFonts w:ascii="Arial" w:eastAsia="Arial" w:hAnsi="Arial" w:cs="Arial"/>
          <w:b/>
          <w:i/>
          <w:color w:val="000000"/>
        </w:rPr>
        <w:t xml:space="preserve"> of confidence: Low (d/d is nodes). </w:t>
      </w:r>
    </w:p>
    <w:p w14:paraId="37FA06F3" w14:textId="77777777" w:rsidR="00777777" w:rsidRDefault="00C116D1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u w:val="single"/>
        </w:rPr>
        <w:t>Candidate # 5</w:t>
      </w:r>
      <w:r>
        <w:rPr>
          <w:rFonts w:ascii="Arial" w:eastAsia="Arial" w:hAnsi="Arial" w:cs="Arial"/>
          <w:i/>
          <w:color w:val="000000"/>
        </w:rPr>
        <w:t xml:space="preserve">:  </w:t>
      </w:r>
      <w:r>
        <w:rPr>
          <w:rFonts w:ascii="Arial" w:eastAsia="Arial" w:hAnsi="Arial" w:cs="Arial"/>
          <w:color w:val="000000"/>
        </w:rPr>
        <w:t xml:space="preserve">4 mm lesion in posterior to the right tracheoesophageal grove, at the level of cricoid cartilage- may represent right </w:t>
      </w:r>
      <w:proofErr w:type="spellStart"/>
      <w:r>
        <w:rPr>
          <w:rFonts w:ascii="Arial" w:eastAsia="Arial" w:hAnsi="Arial" w:cs="Arial"/>
          <w:color w:val="000000"/>
        </w:rPr>
        <w:t>eutopic</w:t>
      </w:r>
      <w:proofErr w:type="spellEnd"/>
      <w:r>
        <w:rPr>
          <w:rFonts w:ascii="Arial" w:eastAsia="Arial" w:hAnsi="Arial" w:cs="Arial"/>
          <w:color w:val="000000"/>
        </w:rPr>
        <w:t xml:space="preserve"> superior parathyroid gland. It measures 4mm. </w:t>
      </w:r>
      <w:r>
        <w:rPr>
          <w:rFonts w:ascii="Arial" w:eastAsia="Arial" w:hAnsi="Arial" w:cs="Arial"/>
          <w:b/>
          <w:i/>
          <w:color w:val="000000"/>
        </w:rPr>
        <w:t>level of confidence: Moderate.</w:t>
      </w:r>
    </w:p>
    <w:p w14:paraId="37FA06F4" w14:textId="77777777" w:rsidR="00777777" w:rsidRDefault="00777777">
      <w:pPr>
        <w:spacing w:after="0" w:line="240" w:lineRule="auto"/>
        <w:ind w:left="2535"/>
        <w:rPr>
          <w:rFonts w:ascii="Arial" w:eastAsia="Arial" w:hAnsi="Arial" w:cs="Arial"/>
          <w:color w:val="000000"/>
        </w:rPr>
      </w:pPr>
    </w:p>
    <w:p w14:paraId="37FA06F5" w14:textId="77777777" w:rsidR="00777777" w:rsidRDefault="00C116D1">
      <w:pPr>
        <w:numPr>
          <w:ilvl w:val="0"/>
          <w:numId w:val="2"/>
        </w:numPr>
        <w:spacing w:after="0" w:line="240" w:lineRule="auto"/>
        <w:ind w:left="69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Aortic arch: There is no aortic arch anomaly associated with a nonrecurrent laryngeal nerve. </w:t>
      </w:r>
    </w:p>
    <w:p w14:paraId="37FA06F6" w14:textId="77777777" w:rsidR="00777777" w:rsidRDefault="00C116D1">
      <w:pPr>
        <w:numPr>
          <w:ilvl w:val="0"/>
          <w:numId w:val="2"/>
        </w:numPr>
        <w:spacing w:after="0" w:line="240" w:lineRule="auto"/>
        <w:ind w:left="69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Other </w:t>
      </w:r>
      <w:proofErr w:type="gramStart"/>
      <w:r>
        <w:rPr>
          <w:rFonts w:ascii="Arial" w:eastAsia="Arial" w:hAnsi="Arial" w:cs="Arial"/>
          <w:color w:val="000000"/>
        </w:rPr>
        <w:t>findings :Paranasal</w:t>
      </w:r>
      <w:proofErr w:type="gramEnd"/>
      <w:r>
        <w:rPr>
          <w:rFonts w:ascii="Arial" w:eastAsia="Arial" w:hAnsi="Arial" w:cs="Arial"/>
          <w:color w:val="000000"/>
        </w:rPr>
        <w:t xml:space="preserve"> sinuses show mild mucosal thickening. </w:t>
      </w:r>
    </w:p>
    <w:p w14:paraId="37FA06F7" w14:textId="77777777" w:rsidR="00777777" w:rsidRDefault="00777777">
      <w:pPr>
        <w:numPr>
          <w:ilvl w:val="0"/>
          <w:numId w:val="2"/>
        </w:numPr>
        <w:spacing w:after="0" w:line="240" w:lineRule="auto"/>
        <w:ind w:left="690" w:hanging="360"/>
        <w:rPr>
          <w:rFonts w:ascii="Arial" w:eastAsia="Arial" w:hAnsi="Arial" w:cs="Arial"/>
          <w:color w:val="000000"/>
        </w:rPr>
      </w:pPr>
    </w:p>
    <w:p w14:paraId="37FA06F8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Conclusions:</w:t>
      </w:r>
    </w:p>
    <w:p w14:paraId="37FA06F9" w14:textId="77777777" w:rsidR="00777777" w:rsidRDefault="00C116D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is not a 4D CT scan - suboptimal study for the purpose of parathyroid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localisation.Within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these limitations, following conclusions can be made:</w:t>
      </w:r>
    </w:p>
    <w:p w14:paraId="37FA06FA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37FA06FB" w14:textId="77777777" w:rsidR="00777777" w:rsidRDefault="00C116D1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27mm lesion in relation to the inferior pole of the left lobe of thyroid as described- </w:t>
      </w:r>
      <w:r>
        <w:rPr>
          <w:rFonts w:ascii="Arial" w:eastAsia="Arial" w:hAnsi="Arial" w:cs="Arial"/>
          <w:color w:val="000000"/>
        </w:rPr>
        <w:t xml:space="preserve">favours parathyroid adenoma. Ultrasound correlation can help in further strengthening the diagnostic confidence. </w:t>
      </w:r>
    </w:p>
    <w:p w14:paraId="37FA06FC" w14:textId="77777777" w:rsidR="00777777" w:rsidRDefault="00C116D1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Possibility of 4mm </w:t>
      </w:r>
      <w:proofErr w:type="spellStart"/>
      <w:r>
        <w:rPr>
          <w:rFonts w:ascii="Arial" w:eastAsia="Arial" w:hAnsi="Arial" w:cs="Arial"/>
          <w:color w:val="000000"/>
        </w:rPr>
        <w:t>eutopic</w:t>
      </w:r>
      <w:proofErr w:type="spellEnd"/>
      <w:r>
        <w:rPr>
          <w:rFonts w:ascii="Arial" w:eastAsia="Arial" w:hAnsi="Arial" w:cs="Arial"/>
          <w:color w:val="000000"/>
        </w:rPr>
        <w:t xml:space="preserve"> right superior parathyroid gland as described.</w:t>
      </w:r>
    </w:p>
    <w:p w14:paraId="37FA06FD" w14:textId="77777777" w:rsidR="00777777" w:rsidRDefault="00C116D1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Three more lesions noted in superior mediastinum - may represent either node (more likely) or ectopic parathyroid glands. 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37FA06FE" w14:textId="77777777" w:rsidR="00777777" w:rsidRDefault="00C116D1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No vascular anomaly is demonstrated to suggest likelihood of </w:t>
      </w:r>
      <w:proofErr w:type="spellStart"/>
      <w:r>
        <w:rPr>
          <w:rFonts w:ascii="Arial" w:eastAsia="Arial" w:hAnsi="Arial" w:cs="Arial"/>
          <w:color w:val="000000"/>
        </w:rPr>
        <w:t>non recurrent</w:t>
      </w:r>
      <w:proofErr w:type="spellEnd"/>
      <w:r>
        <w:rPr>
          <w:rFonts w:ascii="Arial" w:eastAsia="Arial" w:hAnsi="Arial" w:cs="Arial"/>
          <w:color w:val="000000"/>
        </w:rPr>
        <w:t xml:space="preserve"> laryngeal nerve. </w:t>
      </w:r>
    </w:p>
    <w:p w14:paraId="37FA06FF" w14:textId="77777777" w:rsidR="00777777" w:rsidRDefault="00777777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7FA0700" w14:textId="77777777" w:rsidR="00777777" w:rsidRDefault="00C116D1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Note: </w:t>
      </w:r>
      <w:r>
        <w:rPr>
          <w:rFonts w:ascii="Arial" w:eastAsia="Arial" w:hAnsi="Arial" w:cs="Arial"/>
          <w:color w:val="000000"/>
        </w:rPr>
        <w:t xml:space="preserve">Please do not hesitate to reach out in case you </w:t>
      </w:r>
      <w:proofErr w:type="gramStart"/>
      <w:r>
        <w:rPr>
          <w:rFonts w:ascii="Arial" w:eastAsia="Arial" w:hAnsi="Arial" w:cs="Arial"/>
          <w:color w:val="000000"/>
        </w:rPr>
        <w:t>will</w:t>
      </w:r>
      <w:proofErr w:type="gramEnd"/>
      <w:r>
        <w:rPr>
          <w:rFonts w:ascii="Arial" w:eastAsia="Arial" w:hAnsi="Arial" w:cs="Arial"/>
          <w:color w:val="000000"/>
        </w:rPr>
        <w:t xml:space="preserve"> like to discuss this case. </w:t>
      </w:r>
    </w:p>
    <w:p w14:paraId="37FA0701" w14:textId="77777777" w:rsidR="00777777" w:rsidRDefault="0077777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7FA0702" w14:textId="77777777" w:rsidR="00777777" w:rsidRDefault="00C116D1">
      <w:pPr>
        <w:spacing w:after="0" w:line="240" w:lineRule="auto"/>
        <w:rPr>
          <w:rFonts w:ascii="Arial" w:eastAsia="Arial" w:hAnsi="Arial" w:cs="Arial"/>
          <w:color w:val="4682B4"/>
        </w:rPr>
      </w:pPr>
      <w:r>
        <w:rPr>
          <w:rFonts w:ascii="Arial" w:eastAsia="Arial" w:hAnsi="Arial" w:cs="Arial"/>
          <w:color w:val="4682B4"/>
        </w:rPr>
        <w:t>Electronically signed by:</w:t>
      </w:r>
    </w:p>
    <w:p w14:paraId="37FA0703" w14:textId="77777777" w:rsidR="00777777" w:rsidRDefault="00C116D1">
      <w:pPr>
        <w:spacing w:after="0" w:line="240" w:lineRule="auto"/>
        <w:rPr>
          <w:rFonts w:ascii="Arial" w:eastAsia="Arial" w:hAnsi="Arial" w:cs="Arial"/>
          <w:color w:val="4682B4"/>
        </w:rPr>
      </w:pPr>
      <w:r>
        <w:rPr>
          <w:rFonts w:ascii="Arial" w:eastAsia="Arial" w:hAnsi="Arial" w:cs="Arial"/>
          <w:color w:val="4682B4"/>
        </w:rPr>
        <w:t>Dr Gaurav G</w:t>
      </w:r>
    </w:p>
    <w:p w14:paraId="37FA0704" w14:textId="77777777" w:rsidR="00777777" w:rsidRDefault="00C116D1">
      <w:pPr>
        <w:spacing w:after="0" w:line="240" w:lineRule="auto"/>
        <w:rPr>
          <w:rFonts w:ascii="Arial" w:eastAsia="Arial" w:hAnsi="Arial" w:cs="Arial"/>
          <w:color w:val="4682B4"/>
        </w:rPr>
      </w:pPr>
      <w:r>
        <w:rPr>
          <w:rFonts w:ascii="Arial" w:eastAsia="Arial" w:hAnsi="Arial" w:cs="Arial"/>
          <w:color w:val="4682B4"/>
        </w:rPr>
        <w:t>Consultant Radiologist</w:t>
      </w:r>
    </w:p>
    <w:p w14:paraId="37FA0705" w14:textId="77777777" w:rsidR="00777777" w:rsidRDefault="00C116D1">
      <w:pPr>
        <w:spacing w:after="0" w:line="240" w:lineRule="auto"/>
        <w:rPr>
          <w:rFonts w:ascii="Arial" w:eastAsia="Arial" w:hAnsi="Arial" w:cs="Arial"/>
          <w:color w:val="4682B4"/>
        </w:rPr>
      </w:pPr>
      <w:r>
        <w:rPr>
          <w:rFonts w:ascii="Arial" w:eastAsia="Arial" w:hAnsi="Arial" w:cs="Arial"/>
          <w:color w:val="4682B4"/>
        </w:rPr>
        <w:t>GMC: 7579033</w:t>
      </w:r>
    </w:p>
    <w:p w14:paraId="37FA0706" w14:textId="77777777" w:rsidR="00777777" w:rsidRDefault="00C116D1">
      <w:pPr>
        <w:spacing w:after="0" w:line="240" w:lineRule="auto"/>
        <w:rPr>
          <w:rFonts w:ascii="Arial" w:eastAsia="Arial" w:hAnsi="Arial" w:cs="Arial"/>
          <w:color w:val="4682B4"/>
        </w:rPr>
      </w:pPr>
      <w:r>
        <w:rPr>
          <w:rFonts w:ascii="Arial" w:eastAsia="Arial" w:hAnsi="Arial" w:cs="Arial"/>
          <w:color w:val="4682B4"/>
        </w:rPr>
        <w:t>Everlight Radiology</w:t>
      </w:r>
    </w:p>
    <w:p w14:paraId="37FA0707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8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9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A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B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C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D" w14:textId="77777777" w:rsidR="00777777" w:rsidRDefault="00777777">
      <w:pPr>
        <w:spacing w:after="0" w:line="240" w:lineRule="auto"/>
        <w:rPr>
          <w:rFonts w:ascii="Arial" w:eastAsia="Arial" w:hAnsi="Arial" w:cs="Arial"/>
          <w:color w:val="4682B4"/>
        </w:rPr>
      </w:pPr>
    </w:p>
    <w:p w14:paraId="37FA070E" w14:textId="77777777" w:rsidR="00777777" w:rsidRDefault="00777777">
      <w:pPr>
        <w:spacing w:after="0" w:line="240" w:lineRule="auto"/>
        <w:rPr>
          <w:rFonts w:ascii="Calibri" w:eastAsia="Calibri" w:hAnsi="Calibri" w:cs="Calibri"/>
          <w:b/>
        </w:rPr>
      </w:pPr>
    </w:p>
    <w:p w14:paraId="37FA070F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4D CT FOR LOCALISATION OF PARAHTRYOID ADENOMA </w:t>
      </w:r>
    </w:p>
    <w:p w14:paraId="37FA0710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Protocol:</w:t>
      </w:r>
    </w:p>
    <w:p w14:paraId="37FA0711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3993" w:dyaOrig="5779" w14:anchorId="37FA074A">
          <v:rect id="rectole0000000000" o:spid="_x0000_i1025" style="width:199.5pt;height:288.75pt" o:ole="" o:preferrelative="t" stroked="f">
            <v:imagedata r:id="rId8" o:title=""/>
          </v:rect>
          <o:OLEObject Type="Embed" ProgID="StaticMetafile" ShapeID="rectole0000000000" DrawAspect="Content" ObjectID="_1781028552" r:id="rId9"/>
        </w:object>
      </w:r>
    </w:p>
    <w:p w14:paraId="37FA0712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Procedure Information:</w:t>
      </w:r>
    </w:p>
    <w:p w14:paraId="37FA0713" w14:textId="77777777" w:rsidR="00777777" w:rsidRDefault="00C116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Exam: CT neck without and with contrast.</w:t>
      </w:r>
    </w:p>
    <w:p w14:paraId="37FA0714" w14:textId="77777777" w:rsidR="00777777" w:rsidRDefault="00C116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Technique: CT images of the neck were obtained without and with intravenous contrast. Clinical Information: Indication Primary hyperparathyroidism </w:t>
      </w:r>
    </w:p>
    <w:p w14:paraId="37FA0715" w14:textId="77777777" w:rsidR="00777777" w:rsidRDefault="00C116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Comparison: None. </w:t>
      </w:r>
    </w:p>
    <w:p w14:paraId="37FA0716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Findings: </w:t>
      </w:r>
    </w:p>
    <w:p w14:paraId="37FA0717" w14:textId="77777777" w:rsidR="00777777" w:rsidRDefault="00C116D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Thyroid:</w:t>
      </w:r>
    </w:p>
    <w:p w14:paraId="37FA0718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thyroid gland is normal in size and morphology with homogeneous attenuation. </w:t>
      </w:r>
    </w:p>
    <w:p w14:paraId="37FA0719" w14:textId="77777777" w:rsidR="00777777" w:rsidRDefault="00C116D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PARATHYROID:</w:t>
      </w:r>
      <w:r>
        <w:rPr>
          <w:rFonts w:ascii="Calibri" w:eastAsia="Calibri" w:hAnsi="Calibri" w:cs="Calibri"/>
        </w:rPr>
        <w:t xml:space="preserve"> </w:t>
      </w:r>
    </w:p>
    <w:p w14:paraId="37FA071A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number of candidate parathyroid lesions:</w:t>
      </w:r>
    </w:p>
    <w:p w14:paraId="37FA071B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Ectopic parathyroid tissue: present absent </w:t>
      </w:r>
    </w:p>
    <w:p w14:paraId="37FA071C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Supernumerary parathyroid tissue: present absent </w:t>
      </w:r>
    </w:p>
    <w:p w14:paraId="37FA071D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LESION DESCRIPTION: (Repeat below steps as needed for number of candidate lesions described. Provide applicable measurements.) </w:t>
      </w:r>
    </w:p>
    <w:p w14:paraId="37FA071E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Candidate lesion </w:t>
      </w:r>
      <w:proofErr w:type="gramStart"/>
      <w:r>
        <w:rPr>
          <w:rFonts w:ascii="Calibri" w:eastAsia="Calibri" w:hAnsi="Calibri" w:cs="Calibri"/>
          <w:i/>
        </w:rPr>
        <w:t>number :</w:t>
      </w:r>
      <w:proofErr w:type="gramEnd"/>
      <w:r>
        <w:rPr>
          <w:rFonts w:ascii="Calibri" w:eastAsia="Calibri" w:hAnsi="Calibri" w:cs="Calibri"/>
          <w:i/>
        </w:rPr>
        <w:t xml:space="preserve"> </w:t>
      </w:r>
    </w:p>
    <w:p w14:paraId="37FA071F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 lesion size largest dimension mm </w:t>
      </w:r>
    </w:p>
    <w:p w14:paraId="37FA0720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 lesion size height mm </w:t>
      </w:r>
    </w:p>
    <w:p w14:paraId="37FA0721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 lesion size length mm </w:t>
      </w:r>
    </w:p>
    <w:p w14:paraId="37FA0722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 lesion size width mm </w:t>
      </w:r>
    </w:p>
    <w:p w14:paraId="37FA0723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Laterality :</w:t>
      </w:r>
      <w:proofErr w:type="gramEnd"/>
      <w:r>
        <w:rPr>
          <w:rFonts w:ascii="Calibri" w:eastAsia="Calibri" w:hAnsi="Calibri" w:cs="Calibri"/>
        </w:rPr>
        <w:t xml:space="preserve"> right left midline </w:t>
      </w:r>
    </w:p>
    <w:p w14:paraId="37FA0724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Location: neck mediastinum </w:t>
      </w:r>
    </w:p>
    <w:p w14:paraId="37FA0725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Anterior posterior (AP) position relative to the tracheoesophageal </w:t>
      </w:r>
      <w:proofErr w:type="gramStart"/>
      <w:r>
        <w:rPr>
          <w:rFonts w:ascii="Calibri" w:eastAsia="Calibri" w:hAnsi="Calibri" w:cs="Calibri"/>
        </w:rPr>
        <w:t>groove :</w:t>
      </w:r>
      <w:proofErr w:type="gramEnd"/>
    </w:p>
    <w:p w14:paraId="37FA0726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anterior to </w:t>
      </w:r>
    </w:p>
    <w:p w14:paraId="37FA0727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posterior to </w:t>
      </w:r>
    </w:p>
    <w:p w14:paraId="37FA0728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within </w:t>
      </w:r>
    </w:p>
    <w:p w14:paraId="37FA0729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Superior inferior (SI) position relative to the cricoid cartilage:</w:t>
      </w:r>
    </w:p>
    <w:p w14:paraId="37FA072A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above </w:t>
      </w:r>
    </w:p>
    <w:p w14:paraId="37FA072B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</w:t>
      </w:r>
    </w:p>
    <w:p w14:paraId="37FA072C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</w:t>
      </w:r>
    </w:p>
    <w:p w14:paraId="37FA072D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Additional </w:t>
      </w:r>
      <w:proofErr w:type="gramStart"/>
      <w:r>
        <w:rPr>
          <w:rFonts w:ascii="Calibri" w:eastAsia="Calibri" w:hAnsi="Calibri" w:cs="Calibri"/>
        </w:rPr>
        <w:t>location :</w:t>
      </w:r>
      <w:proofErr w:type="gramEnd"/>
      <w:r>
        <w:rPr>
          <w:rFonts w:ascii="Calibri" w:eastAsia="Calibri" w:hAnsi="Calibri" w:cs="Calibri"/>
        </w:rPr>
        <w:t xml:space="preserve"> description Optional additional location description (e.g. along the inferior aspect of the right thyroid lobe) </w:t>
      </w:r>
    </w:p>
    <w:p w14:paraId="37FA072E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Morphology </w:t>
      </w:r>
    </w:p>
    <w:p w14:paraId="37FA072F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ATTENUATION RELATIVE TO NORMAL THYROID PARENCHYMA: </w:t>
      </w:r>
    </w:p>
    <w:p w14:paraId="37FA0730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Noncontrast</w:t>
      </w:r>
      <w:proofErr w:type="spellEnd"/>
      <w:r>
        <w:rPr>
          <w:rFonts w:ascii="Calibri" w:eastAsia="Calibri" w:hAnsi="Calibri" w:cs="Calibri"/>
        </w:rPr>
        <w:t xml:space="preserve"> density:</w:t>
      </w:r>
    </w:p>
    <w:p w14:paraId="37FA0731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hypodense </w:t>
      </w:r>
    </w:p>
    <w:p w14:paraId="37FA0732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isodense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7FA0733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hyperdense</w:t>
      </w:r>
    </w:p>
    <w:p w14:paraId="37FA0734" w14:textId="77777777" w:rsidR="00777777" w:rsidRDefault="00C116D1">
      <w:pPr>
        <w:numPr>
          <w:ilvl w:val="0"/>
          <w:numId w:val="4"/>
        </w:numPr>
        <w:spacing w:after="0" w:line="240" w:lineRule="auto"/>
        <w:ind w:left="28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Arterial phase density: </w:t>
      </w:r>
    </w:p>
    <w:p w14:paraId="37FA0735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hypodense </w:t>
      </w:r>
    </w:p>
    <w:p w14:paraId="37FA0736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isodense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7FA0737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hyperdense </w:t>
      </w:r>
    </w:p>
    <w:p w14:paraId="37FA0738" w14:textId="77777777" w:rsidR="00777777" w:rsidRDefault="00C116D1">
      <w:pPr>
        <w:numPr>
          <w:ilvl w:val="0"/>
          <w:numId w:val="4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Venous phase density:</w:t>
      </w:r>
    </w:p>
    <w:p w14:paraId="37FA0739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hypodense </w:t>
      </w:r>
    </w:p>
    <w:p w14:paraId="37FA073A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isodense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7FA073B" w14:textId="77777777" w:rsidR="00777777" w:rsidRDefault="00C116D1">
      <w:pPr>
        <w:numPr>
          <w:ilvl w:val="0"/>
          <w:numId w:val="4"/>
        </w:numPr>
        <w:spacing w:after="0" w:line="240" w:lineRule="auto"/>
        <w:ind w:left="3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hyperdense </w:t>
      </w:r>
    </w:p>
    <w:p w14:paraId="37FA073C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Additional lesion characteristics: Optional additional lesion characteristics (e.g., polar vessel, cystic/fatty foci, calcification) </w:t>
      </w:r>
    </w:p>
    <w:p w14:paraId="37FA073D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Candidate lesion most likely represents: Parathyroid adenoma. </w:t>
      </w:r>
    </w:p>
    <w:p w14:paraId="37FA073E" w14:textId="77777777" w:rsidR="00777777" w:rsidRDefault="00C116D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ADDITIONAL: </w:t>
      </w:r>
    </w:p>
    <w:p w14:paraId="37FA073F" w14:textId="77777777" w:rsidR="00777777" w:rsidRDefault="00C116D1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Aortic arch: There is no aortic arch anomaly associated with a nonrecurrent laryngeal nerve. Other findings </w:t>
      </w:r>
    </w:p>
    <w:p w14:paraId="37FA0740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Impression:</w:t>
      </w:r>
    </w:p>
    <w:p w14:paraId="37FA0741" w14:textId="77777777" w:rsidR="00777777" w:rsidRDefault="00C116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lesion &gt; 13 mm strongly favours parathyroid adenoma (Minimally invasive parathyroidectomy surgery (MIP) candidate).</w:t>
      </w:r>
    </w:p>
    <w:p w14:paraId="37FA0742" w14:textId="77777777" w:rsidR="00777777" w:rsidRDefault="00C116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Multiple lesion or no </w:t>
      </w:r>
      <w:proofErr w:type="gramStart"/>
      <w:r>
        <w:rPr>
          <w:rFonts w:ascii="Calibri" w:eastAsia="Calibri" w:hAnsi="Calibri" w:cs="Calibri"/>
        </w:rPr>
        <w:t>lesion  favours</w:t>
      </w:r>
      <w:proofErr w:type="gramEnd"/>
      <w:r>
        <w:rPr>
          <w:rFonts w:ascii="Calibri" w:eastAsia="Calibri" w:hAnsi="Calibri" w:cs="Calibri"/>
        </w:rPr>
        <w:t xml:space="preserve"> multi glandular disease (MGD) and often requires Bilateral neck exploration (BNE).</w:t>
      </w:r>
    </w:p>
    <w:p w14:paraId="37FA0743" w14:textId="77777777" w:rsidR="00777777" w:rsidRDefault="00C116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lesion &lt; 7mm also suggest possibility of MGD.</w:t>
      </w:r>
    </w:p>
    <w:p w14:paraId="37FA0744" w14:textId="77777777" w:rsidR="00777777" w:rsidRDefault="0077777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FA0745" w14:textId="77777777" w:rsidR="00777777" w:rsidRDefault="00C116D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37FA0746" w14:textId="77777777" w:rsidR="00777777" w:rsidRDefault="00C116D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 vascular anomaly is demonstrated to suggest likelihood of </w:t>
      </w:r>
      <w:proofErr w:type="spellStart"/>
      <w:r>
        <w:rPr>
          <w:rFonts w:ascii="Calibri" w:eastAsia="Calibri" w:hAnsi="Calibri" w:cs="Calibri"/>
          <w:b/>
        </w:rPr>
        <w:t>non recurrent</w:t>
      </w:r>
      <w:proofErr w:type="spellEnd"/>
      <w:r>
        <w:rPr>
          <w:rFonts w:ascii="Calibri" w:eastAsia="Calibri" w:hAnsi="Calibri" w:cs="Calibri"/>
          <w:b/>
        </w:rPr>
        <w:t xml:space="preserve"> laryngeal nerve. </w:t>
      </w:r>
    </w:p>
    <w:p w14:paraId="37FA0747" w14:textId="77777777" w:rsidR="00777777" w:rsidRDefault="00777777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7FA0748" w14:textId="77777777" w:rsidR="00777777" w:rsidRDefault="00C116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Note: Please discuss the results of this report in your local parathyroid MDT. </w:t>
      </w:r>
    </w:p>
    <w:p w14:paraId="37FA0749" w14:textId="77777777" w:rsidR="00777777" w:rsidRDefault="00777777">
      <w:pPr>
        <w:spacing w:after="0" w:line="240" w:lineRule="auto"/>
        <w:rPr>
          <w:rFonts w:ascii="Calibri" w:eastAsia="Calibri" w:hAnsi="Calibri" w:cs="Calibri"/>
          <w:b/>
        </w:rPr>
      </w:pPr>
    </w:p>
    <w:sectPr w:rsidR="0077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4DB"/>
    <w:multiLevelType w:val="multilevel"/>
    <w:tmpl w:val="18B8C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E6613C"/>
    <w:multiLevelType w:val="multilevel"/>
    <w:tmpl w:val="1B283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67868"/>
    <w:multiLevelType w:val="multilevel"/>
    <w:tmpl w:val="DF46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5B77FE"/>
    <w:multiLevelType w:val="multilevel"/>
    <w:tmpl w:val="46D60EA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738840">
    <w:abstractNumId w:val="0"/>
  </w:num>
  <w:num w:numId="2" w16cid:durableId="195168780">
    <w:abstractNumId w:val="2"/>
  </w:num>
  <w:num w:numId="3" w16cid:durableId="1456752368">
    <w:abstractNumId w:val="3"/>
  </w:num>
  <w:num w:numId="4" w16cid:durableId="69003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777"/>
    <w:rsid w:val="005B5024"/>
    <w:rsid w:val="00777777"/>
    <w:rsid w:val="00C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A06E0"/>
  <w15:docId w15:val="{BDC5908F-0D23-4912-AD97-4D0929CB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17AAD54995B47825C49B67D2A0B6D" ma:contentTypeVersion="16" ma:contentTypeDescription="Create a new document." ma:contentTypeScope="" ma:versionID="537b043b90da2042739b964ce0740884">
  <xsd:schema xmlns:xsd="http://www.w3.org/2001/XMLSchema" xmlns:xs="http://www.w3.org/2001/XMLSchema" xmlns:p="http://schemas.microsoft.com/office/2006/metadata/properties" xmlns:ns1="http://schemas.microsoft.com/sharepoint/v3" xmlns:ns3="f6b2233e-23ef-4dc3-94b8-eb7856adac7e" xmlns:ns4="bfe01adb-2a60-45b7-8948-281361a39835" targetNamespace="http://schemas.microsoft.com/office/2006/metadata/properties" ma:root="true" ma:fieldsID="9cddc68160412e2889ef93a36dbc5ae9" ns1:_="" ns3:_="" ns4:_="">
    <xsd:import namespace="http://schemas.microsoft.com/sharepoint/v3"/>
    <xsd:import namespace="f6b2233e-23ef-4dc3-94b8-eb7856adac7e"/>
    <xsd:import namespace="bfe01adb-2a60-45b7-8948-281361a3983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2233e-23ef-4dc3-94b8-eb7856ada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01adb-2a60-45b7-8948-281361a39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f6b2233e-23ef-4dc3-94b8-eb7856adac7e" xsi:nil="true"/>
  </documentManagement>
</p:properties>
</file>

<file path=customXml/itemProps1.xml><?xml version="1.0" encoding="utf-8"?>
<ds:datastoreItem xmlns:ds="http://schemas.openxmlformats.org/officeDocument/2006/customXml" ds:itemID="{B591FB3D-C028-4614-9365-2D3568A2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b2233e-23ef-4dc3-94b8-eb7856adac7e"/>
    <ds:schemaRef ds:uri="bfe01adb-2a60-45b7-8948-281361a39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B457E-D4FD-4264-8C53-A708B9B06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CC09F-2830-46C5-B94E-0612533D3C9E}">
  <ds:schemaRefs>
    <ds:schemaRef ds:uri="http://purl.org/dc/elements/1.1/"/>
    <ds:schemaRef ds:uri="http://schemas.openxmlformats.org/package/2006/metadata/core-properties"/>
    <ds:schemaRef ds:uri="bfe01adb-2a60-45b7-8948-281361a39835"/>
    <ds:schemaRef ds:uri="http://schemas.microsoft.com/office/2006/documentManagement/types"/>
    <ds:schemaRef ds:uri="f6b2233e-23ef-4dc3-94b8-eb7856adac7e"/>
    <ds:schemaRef ds:uri="http://purl.org/dc/dcmitype/"/>
    <ds:schemaRef ds:uri="http://www.w3.org/XML/1998/namespace"/>
    <ds:schemaRef ds:uri="http://schemas.microsoft.com/sharepoint/v3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GAURAV, Gaurav (ISLE OF WIGHT NHS TRUST)</cp:lastModifiedBy>
  <cp:revision>2</cp:revision>
  <dcterms:created xsi:type="dcterms:W3CDTF">2024-06-27T20:23:00Z</dcterms:created>
  <dcterms:modified xsi:type="dcterms:W3CDTF">2024-06-27T20:23:00Z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0x010100CBD17AAD54995B47825C49B67D2A0B6D</vt:lpwstr>
  </property>
</Properties>
</file>