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2E" w:rsidRDefault="006A49BB" w:rsidP="00DD6251">
      <w:pPr>
        <w:jc w:val="both"/>
      </w:pPr>
      <w:r>
        <w:t>Lym</w:t>
      </w:r>
      <w:r w:rsidR="00DD6251">
        <w:t>ph</w:t>
      </w:r>
      <w:r>
        <w:t xml:space="preserve">oma reporting and </w:t>
      </w:r>
      <w:proofErr w:type="gramStart"/>
      <w:r>
        <w:t>staging :</w:t>
      </w:r>
      <w:proofErr w:type="gramEnd"/>
    </w:p>
    <w:p w:rsidR="00DD6251" w:rsidRDefault="00DD6251" w:rsidP="00DD6251">
      <w:pPr>
        <w:jc w:val="both"/>
      </w:pPr>
      <w:r>
        <w:t>Report:</w:t>
      </w:r>
    </w:p>
    <w:p w:rsidR="00DD6251" w:rsidRDefault="00DD6251" w:rsidP="00DD6251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D6251">
        <w:rPr>
          <w:rFonts w:ascii="Arial" w:hAnsi="Arial" w:cs="Arial"/>
          <w:i/>
          <w:sz w:val="24"/>
          <w:szCs w:val="24"/>
          <w:lang w:val="en-GB"/>
        </w:rPr>
        <w:t xml:space="preserve">To document size of the nodes and masses use </w:t>
      </w:r>
      <w:proofErr w:type="spellStart"/>
      <w:r w:rsidRPr="00DD6251">
        <w:rPr>
          <w:rFonts w:ascii="Arial" w:hAnsi="Arial" w:cs="Arial"/>
          <w:i/>
          <w:sz w:val="24"/>
          <w:szCs w:val="24"/>
          <w:lang w:val="en-GB"/>
        </w:rPr>
        <w:t>Lugano</w:t>
      </w:r>
      <w:proofErr w:type="spellEnd"/>
      <w:r w:rsidRPr="00DD6251">
        <w:rPr>
          <w:rFonts w:ascii="Arial" w:hAnsi="Arial" w:cs="Arial"/>
          <w:i/>
          <w:sz w:val="24"/>
          <w:szCs w:val="24"/>
          <w:lang w:val="en-GB"/>
        </w:rPr>
        <w:t xml:space="preserve"> classifications</w:t>
      </w:r>
      <w:r>
        <w:rPr>
          <w:rFonts w:ascii="Arial" w:hAnsi="Arial" w:cs="Arial"/>
          <w:sz w:val="24"/>
          <w:szCs w:val="24"/>
          <w:lang w:val="en-GB"/>
        </w:rPr>
        <w:t xml:space="preserve">: </w:t>
      </w:r>
    </w:p>
    <w:p w:rsidR="00DD6251" w:rsidRDefault="00DD6251" w:rsidP="00DD6251">
      <w:pPr>
        <w:jc w:val="both"/>
      </w:pPr>
      <w:r>
        <w:t xml:space="preserve">Target lesions: measure at least 6 lesions- these should represent the largest possible number </w:t>
      </w:r>
      <w:proofErr w:type="spellStart"/>
      <w:proofErr w:type="gramStart"/>
      <w:r>
        <w:t>og</w:t>
      </w:r>
      <w:proofErr w:type="spellEnd"/>
      <w:proofErr w:type="gramEnd"/>
      <w:r>
        <w:t xml:space="preserve"> anatomical sites, with preference for the – (a) Largest lesions (b) </w:t>
      </w:r>
      <w:proofErr w:type="spellStart"/>
      <w:r>
        <w:t>mediastinal</w:t>
      </w:r>
      <w:proofErr w:type="spellEnd"/>
      <w:r>
        <w:t xml:space="preserve"> lesions (c) retroperitoneal lesions.  Target lesions are those node or nodal masses </w:t>
      </w:r>
      <w:proofErr w:type="spellStart"/>
      <w:r>
        <w:t>LDi</w:t>
      </w:r>
      <w:proofErr w:type="spellEnd"/>
      <w:r>
        <w:t xml:space="preserve"> &gt; 15 mm or extra nodal lesions &gt; 10 mm. Present </w:t>
      </w:r>
      <w:proofErr w:type="spellStart"/>
      <w:r>
        <w:t>BIdmensional</w:t>
      </w:r>
      <w:proofErr w:type="spellEnd"/>
      <w:r>
        <w:t xml:space="preserve"> diameters for calculating PPD (product of perpendicular diameter) and SPD (sum of product of perpendicular diameter). Use table in excel file stored at following location-:</w:t>
      </w:r>
    </w:p>
    <w:tbl>
      <w:tblPr>
        <w:tblW w:w="9120" w:type="dxa"/>
        <w:tblInd w:w="100" w:type="dxa"/>
        <w:tblLook w:val="04A0"/>
      </w:tblPr>
      <w:tblGrid>
        <w:gridCol w:w="713"/>
        <w:gridCol w:w="1020"/>
        <w:gridCol w:w="2626"/>
        <w:gridCol w:w="1710"/>
        <w:gridCol w:w="1205"/>
        <w:gridCol w:w="1218"/>
        <w:gridCol w:w="628"/>
      </w:tblGrid>
      <w:tr w:rsidR="00DD6251" w:rsidRPr="00DD6251" w:rsidTr="008D4206">
        <w:trPr>
          <w:trHeight w:val="315"/>
        </w:trPr>
        <w:tc>
          <w:tcPr>
            <w:tcW w:w="9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Target lesions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6251">
              <w:rPr>
                <w:rFonts w:ascii="Calibri" w:eastAsia="Times New Roman" w:hAnsi="Calibri" w:cs="Calibri"/>
                <w:color w:val="000000"/>
              </w:rPr>
              <w:t>S.No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Site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Above diaphragm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Series/Slice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Size (</w:t>
            </w:r>
            <w:proofErr w:type="spellStart"/>
            <w:r w:rsidRPr="00DD6251">
              <w:rPr>
                <w:rFonts w:ascii="Calibri" w:eastAsia="Times New Roman" w:hAnsi="Calibri" w:cs="Calibri"/>
                <w:color w:val="000000"/>
              </w:rPr>
              <w:t>Tr</w:t>
            </w:r>
            <w:proofErr w:type="spellEnd"/>
            <w:r w:rsidRPr="00DD625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Size(AP)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PPD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SPD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251" w:rsidRPr="00DD6251" w:rsidTr="008D4206">
        <w:trPr>
          <w:trHeight w:val="300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D6251" w:rsidRPr="00DD6251" w:rsidTr="008D4206">
        <w:trPr>
          <w:trHeight w:val="315"/>
        </w:trPr>
        <w:tc>
          <w:tcPr>
            <w:tcW w:w="9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Non Target lesions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6251">
              <w:rPr>
                <w:rFonts w:ascii="Calibri" w:eastAsia="Times New Roman" w:hAnsi="Calibri" w:cs="Calibri"/>
                <w:color w:val="000000"/>
              </w:rPr>
              <w:t>S.No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Site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Series/Slice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Size</w:t>
            </w:r>
            <w:r>
              <w:rPr>
                <w:rFonts w:ascii="Calibri" w:eastAsia="Times New Roman" w:hAnsi="Calibri" w:cs="Calibri"/>
                <w:color w:val="000000"/>
              </w:rPr>
              <w:t>(only for spleen)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Spleen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Vertical=</w:t>
            </w:r>
          </w:p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X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251" w:rsidRPr="00DD6251" w:rsidTr="008D4206">
        <w:trPr>
          <w:trHeight w:val="31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D6251" w:rsidRPr="00DD6251" w:rsidRDefault="00DD6251" w:rsidP="008D42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D62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D6251" w:rsidRDefault="00DD6251" w:rsidP="00DD6251">
      <w:pPr>
        <w:jc w:val="both"/>
      </w:pPr>
    </w:p>
    <w:p w:rsidR="006A49BB" w:rsidRDefault="006A49BB" w:rsidP="00DD6251">
      <w:pPr>
        <w:jc w:val="both"/>
      </w:pPr>
      <w:r>
        <w:t>Conclusion:</w:t>
      </w:r>
    </w:p>
    <w:p w:rsidR="006A49BB" w:rsidRDefault="006A49BB" w:rsidP="00DD6251">
      <w:pPr>
        <w:jc w:val="both"/>
      </w:pPr>
      <w:r>
        <w:t>Staging:</w:t>
      </w:r>
    </w:p>
    <w:p w:rsidR="006A49BB" w:rsidRP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GB"/>
        </w:rPr>
      </w:pPr>
      <w:r w:rsidRPr="006A49BB">
        <w:rPr>
          <w:rFonts w:ascii="Arial" w:hAnsi="Arial" w:cs="Arial"/>
          <w:i/>
          <w:sz w:val="24"/>
          <w:szCs w:val="24"/>
          <w:lang w:val="en-GB"/>
        </w:rPr>
        <w:t>If the HPE diagnosis reveals Lymphoma the staging will be as follows-:</w:t>
      </w:r>
    </w:p>
    <w:p w:rsid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6A49BB">
        <w:rPr>
          <w:rFonts w:ascii="Arial" w:hAnsi="Arial" w:cs="Arial"/>
          <w:b/>
          <w:sz w:val="24"/>
          <w:szCs w:val="24"/>
          <w:lang w:val="en-GB"/>
        </w:rPr>
        <w:t xml:space="preserve">Modified Ann </w:t>
      </w:r>
      <w:proofErr w:type="spellStart"/>
      <w:r w:rsidRPr="006A49BB">
        <w:rPr>
          <w:rFonts w:ascii="Arial" w:hAnsi="Arial" w:cs="Arial"/>
          <w:b/>
          <w:sz w:val="24"/>
          <w:szCs w:val="24"/>
          <w:lang w:val="en-GB"/>
        </w:rPr>
        <w:t>Arbor</w:t>
      </w:r>
      <w:proofErr w:type="spellEnd"/>
      <w:r w:rsidRPr="006A49BB">
        <w:rPr>
          <w:rFonts w:ascii="Arial" w:hAnsi="Arial" w:cs="Arial"/>
          <w:b/>
          <w:sz w:val="24"/>
          <w:szCs w:val="24"/>
          <w:lang w:val="en-GB"/>
        </w:rPr>
        <w:t xml:space="preserve"> staging</w:t>
      </w:r>
      <w:r>
        <w:rPr>
          <w:rFonts w:ascii="Arial" w:hAnsi="Arial" w:cs="Arial"/>
          <w:sz w:val="24"/>
          <w:szCs w:val="24"/>
          <w:lang w:val="en-GB"/>
        </w:rPr>
        <w:t>-:</w:t>
      </w:r>
    </w:p>
    <w:p w:rsid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6A49BB">
        <w:rPr>
          <w:rFonts w:ascii="Arial" w:hAnsi="Arial" w:cs="Arial"/>
          <w:sz w:val="24"/>
          <w:szCs w:val="24"/>
          <w:u w:val="single"/>
          <w:lang w:val="en-GB"/>
        </w:rPr>
        <w:t>Stage I</w:t>
      </w:r>
      <w:r>
        <w:rPr>
          <w:rFonts w:ascii="Arial" w:hAnsi="Arial" w:cs="Arial"/>
          <w:sz w:val="24"/>
          <w:szCs w:val="24"/>
          <w:lang w:val="en-GB"/>
        </w:rPr>
        <w:t xml:space="preserve"> -:   (Single nodal group involvement seen)</w:t>
      </w:r>
    </w:p>
    <w:p w:rsid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Stage I</w:t>
      </w:r>
      <w:r w:rsidRPr="006A49BB">
        <w:rPr>
          <w:rFonts w:ascii="Arial" w:hAnsi="Arial" w:cs="Arial"/>
          <w:sz w:val="24"/>
          <w:szCs w:val="24"/>
          <w:u w:val="single"/>
          <w:lang w:val="en-GB"/>
        </w:rPr>
        <w:t>E</w:t>
      </w:r>
      <w:r>
        <w:rPr>
          <w:rFonts w:ascii="Arial" w:hAnsi="Arial" w:cs="Arial"/>
          <w:sz w:val="24"/>
          <w:szCs w:val="24"/>
          <w:lang w:val="en-GB"/>
        </w:rPr>
        <w:t xml:space="preserve"> -: (Single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extranodal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involvement).</w:t>
      </w:r>
    </w:p>
    <w:p w:rsid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6A49BB">
        <w:rPr>
          <w:rFonts w:ascii="Arial" w:hAnsi="Arial" w:cs="Arial"/>
          <w:sz w:val="24"/>
          <w:szCs w:val="24"/>
          <w:u w:val="single"/>
          <w:lang w:val="en-GB"/>
        </w:rPr>
        <w:t>Stage II</w:t>
      </w:r>
      <w:r w:rsidRPr="006A49BB">
        <w:rPr>
          <w:rFonts w:ascii="Arial" w:hAnsi="Arial" w:cs="Arial"/>
          <w:sz w:val="24"/>
          <w:szCs w:val="24"/>
          <w:lang w:val="en-GB"/>
        </w:rPr>
        <w:t>-</w:t>
      </w:r>
      <w:r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  (&gt;=2 nodal groups involved on same side of diaphragm)</w:t>
      </w:r>
    </w:p>
    <w:p w:rsid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6A49BB">
        <w:rPr>
          <w:rFonts w:ascii="Arial" w:hAnsi="Arial" w:cs="Arial"/>
          <w:sz w:val="24"/>
          <w:szCs w:val="24"/>
          <w:u w:val="single"/>
          <w:lang w:val="en-GB"/>
        </w:rPr>
        <w:lastRenderedPageBreak/>
        <w:t>Stage IIE</w:t>
      </w:r>
      <w:r>
        <w:rPr>
          <w:rFonts w:ascii="Arial" w:hAnsi="Arial" w:cs="Arial"/>
          <w:sz w:val="24"/>
          <w:szCs w:val="24"/>
          <w:lang w:val="en-GB"/>
        </w:rPr>
        <w:t xml:space="preserve">-: (Single nodal group involved + contagious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extranodal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involvement)</w:t>
      </w:r>
    </w:p>
    <w:p w:rsid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6A49BB">
        <w:rPr>
          <w:rFonts w:ascii="Arial" w:hAnsi="Arial" w:cs="Arial"/>
          <w:sz w:val="24"/>
          <w:szCs w:val="24"/>
          <w:u w:val="single"/>
          <w:lang w:val="en-GB"/>
        </w:rPr>
        <w:t>Stage II E</w:t>
      </w:r>
      <w:r>
        <w:rPr>
          <w:rFonts w:ascii="Arial" w:hAnsi="Arial" w:cs="Arial"/>
          <w:sz w:val="24"/>
          <w:szCs w:val="24"/>
          <w:lang w:val="en-GB"/>
        </w:rPr>
        <w:t xml:space="preserve">-: (&gt;= two nodal group involved + contagious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extranodal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involvement)</w:t>
      </w:r>
    </w:p>
    <w:p w:rsid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6A49BB">
        <w:rPr>
          <w:rFonts w:ascii="Arial" w:hAnsi="Arial" w:cs="Arial"/>
          <w:sz w:val="24"/>
          <w:szCs w:val="24"/>
          <w:u w:val="single"/>
          <w:lang w:val="en-GB"/>
        </w:rPr>
        <w:t>Stage II (Bulky)</w:t>
      </w:r>
      <w:r>
        <w:rPr>
          <w:rFonts w:ascii="Arial" w:hAnsi="Arial" w:cs="Arial"/>
          <w:sz w:val="24"/>
          <w:szCs w:val="24"/>
          <w:lang w:val="en-GB"/>
        </w:rPr>
        <w:t xml:space="preserve">: (&gt;= 2 nodal </w:t>
      </w:r>
      <w:proofErr w:type="gramStart"/>
      <w:r>
        <w:rPr>
          <w:rFonts w:ascii="Arial" w:hAnsi="Arial" w:cs="Arial"/>
          <w:sz w:val="24"/>
          <w:szCs w:val="24"/>
          <w:lang w:val="en-GB"/>
        </w:rPr>
        <w:t>group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with bulky nodes - that is at least one nodal mass &gt; 10 cm or nodal measuring &gt; 1/3 of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transthoracic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diameter)</w:t>
      </w:r>
    </w:p>
    <w:p w:rsidR="006A49BB" w:rsidRP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n-GB"/>
        </w:rPr>
      </w:pPr>
      <w:r w:rsidRPr="006A49BB">
        <w:rPr>
          <w:rFonts w:ascii="Arial" w:hAnsi="Arial" w:cs="Arial"/>
          <w:b/>
          <w:i/>
          <w:sz w:val="24"/>
          <w:szCs w:val="24"/>
          <w:lang w:val="en-GB"/>
        </w:rPr>
        <w:t>----Advanced stages----</w:t>
      </w:r>
    </w:p>
    <w:p w:rsid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6A49BB">
        <w:rPr>
          <w:rFonts w:ascii="Arial" w:hAnsi="Arial" w:cs="Arial"/>
          <w:sz w:val="24"/>
          <w:szCs w:val="24"/>
          <w:u w:val="single"/>
          <w:lang w:val="en-GB"/>
        </w:rPr>
        <w:t>Stage III</w:t>
      </w:r>
      <w:r>
        <w:rPr>
          <w:rFonts w:ascii="Arial" w:hAnsi="Arial" w:cs="Arial"/>
          <w:sz w:val="24"/>
          <w:szCs w:val="24"/>
          <w:lang w:val="en-GB"/>
        </w:rPr>
        <w:t>- : (Nodes on both sides of diaphragm involved)</w:t>
      </w:r>
    </w:p>
    <w:p w:rsid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6A49BB">
        <w:rPr>
          <w:rFonts w:ascii="Arial" w:hAnsi="Arial" w:cs="Arial"/>
          <w:sz w:val="24"/>
          <w:szCs w:val="24"/>
          <w:u w:val="single"/>
          <w:lang w:val="en-GB"/>
        </w:rPr>
        <w:t>Stage III</w:t>
      </w:r>
      <w:r w:rsidRPr="006A49BB">
        <w:rPr>
          <w:rFonts w:ascii="Arial" w:hAnsi="Arial" w:cs="Arial"/>
          <w:sz w:val="24"/>
          <w:szCs w:val="24"/>
          <w:lang w:val="en-GB"/>
        </w:rPr>
        <w:t>-:</w:t>
      </w:r>
      <w:r>
        <w:rPr>
          <w:rFonts w:ascii="Arial" w:hAnsi="Arial" w:cs="Arial"/>
          <w:sz w:val="24"/>
          <w:szCs w:val="24"/>
          <w:lang w:val="en-GB"/>
        </w:rPr>
        <w:t xml:space="preserve"> (Nodes above diaphragm involved + Spleen involved)</w:t>
      </w:r>
    </w:p>
    <w:p w:rsidR="006A49BB" w:rsidRDefault="006A49BB" w:rsidP="00DD62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6A49BB">
        <w:rPr>
          <w:rFonts w:ascii="Arial" w:hAnsi="Arial" w:cs="Arial"/>
          <w:sz w:val="24"/>
          <w:szCs w:val="24"/>
          <w:u w:val="single"/>
          <w:lang w:val="en-GB"/>
        </w:rPr>
        <w:t>Stage IV</w:t>
      </w:r>
      <w:r>
        <w:rPr>
          <w:rFonts w:ascii="Arial" w:hAnsi="Arial" w:cs="Arial"/>
          <w:sz w:val="24"/>
          <w:szCs w:val="24"/>
          <w:lang w:val="en-GB"/>
        </w:rPr>
        <w:t xml:space="preserve">: (Nodal involvement with non contagious extra nodal involvement) </w:t>
      </w:r>
    </w:p>
    <w:p w:rsidR="006A49BB" w:rsidRDefault="006A49BB" w:rsidP="00DD6251">
      <w:pPr>
        <w:jc w:val="both"/>
        <w:rPr>
          <w:rFonts w:ascii="Arial" w:hAnsi="Arial" w:cs="Arial"/>
          <w:sz w:val="24"/>
          <w:szCs w:val="24"/>
          <w:lang w:val="en-GB"/>
        </w:rPr>
      </w:pPr>
    </w:p>
    <w:p w:rsidR="006A49BB" w:rsidRDefault="006A49BB" w:rsidP="00DD6251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Note: If HPE reveals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Hodgkins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Lymphoma, the stage needs to be subdivided into Category A (absent of systemic symptoms) v/s Category B </w:t>
      </w:r>
      <w:proofErr w:type="gramStart"/>
      <w:r>
        <w:rPr>
          <w:rFonts w:ascii="Arial" w:hAnsi="Arial" w:cs="Arial"/>
          <w:sz w:val="24"/>
          <w:szCs w:val="24"/>
          <w:lang w:val="en-GB"/>
        </w:rPr>
        <w:t>( presence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of systemic symptoms--: &gt; 10 % weight loss or Night sweats or Fever).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not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applicable for NHL).</w:t>
      </w:r>
    </w:p>
    <w:p w:rsidR="00DD6251" w:rsidRDefault="00DD6251" w:rsidP="00DD6251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To assess response to treatment 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Lympoma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use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Lugano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classification-:</w:t>
      </w:r>
    </w:p>
    <w:p w:rsidR="00DD6251" w:rsidRDefault="00DD6251" w:rsidP="00DD6251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D6251">
        <w:rPr>
          <w:rFonts w:ascii="Arial" w:hAnsi="Arial" w:cs="Arial"/>
          <w:sz w:val="24"/>
          <w:szCs w:val="24"/>
          <w:lang w:val="en-GB"/>
        </w:rPr>
        <w:drawing>
          <wp:inline distT="0" distB="0" distL="0" distR="0">
            <wp:extent cx="4575158" cy="5084698"/>
            <wp:effectExtent l="19050" t="0" r="0" b="0"/>
            <wp:docPr id="3" name="Picture 1" descr="https://radiologyassistant.nl/assets/-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diologyassistant.nl/assets/-tab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181" cy="508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251" w:rsidRDefault="00DD6251" w:rsidP="00DD6251">
      <w:pPr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lastRenderedPageBreak/>
        <w:t xml:space="preserve">For assessing response to treatment for Lymphoma patient 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Immunomodualtion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use LYRIC (</w:t>
      </w:r>
      <w:r w:rsidRPr="00DD6251">
        <w:rPr>
          <w:rFonts w:ascii="Arial" w:hAnsi="Arial" w:cs="Arial"/>
          <w:b/>
          <w:bCs/>
          <w:sz w:val="24"/>
          <w:szCs w:val="24"/>
        </w:rPr>
        <w:t xml:space="preserve">Lymphoma Response to </w:t>
      </w:r>
      <w:proofErr w:type="spellStart"/>
      <w:r w:rsidRPr="00DD6251">
        <w:rPr>
          <w:rFonts w:ascii="Arial" w:hAnsi="Arial" w:cs="Arial"/>
          <w:b/>
          <w:bCs/>
          <w:sz w:val="24"/>
          <w:szCs w:val="24"/>
        </w:rPr>
        <w:t>Immunomodulatory</w:t>
      </w:r>
      <w:proofErr w:type="spellEnd"/>
      <w:r w:rsidRPr="00DD6251">
        <w:rPr>
          <w:rFonts w:ascii="Arial" w:hAnsi="Arial" w:cs="Arial"/>
          <w:b/>
          <w:bCs/>
          <w:sz w:val="24"/>
          <w:szCs w:val="24"/>
        </w:rPr>
        <w:t xml:space="preserve"> Therapy Criteria</w:t>
      </w:r>
      <w:r>
        <w:rPr>
          <w:rFonts w:ascii="Arial" w:hAnsi="Arial" w:cs="Arial"/>
          <w:sz w:val="24"/>
          <w:szCs w:val="24"/>
          <w:lang w:val="en-GB"/>
        </w:rPr>
        <w:t>).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This is modification of above described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Lugano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classification with and added category of indeterminate response (IR).</w:t>
      </w:r>
    </w:p>
    <w:p w:rsidR="00DD6251" w:rsidRPr="00DD6251" w:rsidRDefault="00DD6251" w:rsidP="00DD625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6251">
        <w:rPr>
          <w:rFonts w:ascii="Arial" w:hAnsi="Arial" w:cs="Arial"/>
          <w:b/>
          <w:bCs/>
          <w:sz w:val="24"/>
          <w:szCs w:val="24"/>
        </w:rPr>
        <w:t>Indeterminate response (IR)</w:t>
      </w:r>
    </w:p>
    <w:p w:rsidR="00DD6251" w:rsidRPr="00DD6251" w:rsidRDefault="00DD6251" w:rsidP="00DD625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D6251">
        <w:rPr>
          <w:rFonts w:ascii="Arial" w:hAnsi="Arial" w:cs="Arial"/>
          <w:b/>
          <w:bCs/>
          <w:sz w:val="24"/>
          <w:szCs w:val="24"/>
        </w:rPr>
        <w:t>IR(1):</w:t>
      </w:r>
      <w:r w:rsidRPr="00DD6251">
        <w:rPr>
          <w:rFonts w:ascii="Arial" w:hAnsi="Arial" w:cs="Arial"/>
          <w:b/>
          <w:sz w:val="24"/>
          <w:szCs w:val="24"/>
        </w:rPr>
        <w:t xml:space="preserve"> ≥ 50% increase in overall tumor burden (sum of the product of the perpendicular diameters (SPD) of up to six target measurable nodes and </w:t>
      </w:r>
      <w:proofErr w:type="spellStart"/>
      <w:r w:rsidRPr="00DD6251">
        <w:rPr>
          <w:rFonts w:ascii="Arial" w:hAnsi="Arial" w:cs="Arial"/>
          <w:b/>
          <w:sz w:val="24"/>
          <w:szCs w:val="24"/>
        </w:rPr>
        <w:t>extranodal</w:t>
      </w:r>
      <w:proofErr w:type="spellEnd"/>
      <w:r w:rsidRPr="00DD6251">
        <w:rPr>
          <w:rFonts w:ascii="Arial" w:hAnsi="Arial" w:cs="Arial"/>
          <w:b/>
          <w:sz w:val="24"/>
          <w:szCs w:val="24"/>
        </w:rPr>
        <w:t xml:space="preserve"> sites) occurred in the first 12 weeks of therapy and without clinical deterioration</w:t>
      </w:r>
    </w:p>
    <w:p w:rsidR="00DD6251" w:rsidRPr="00DD6251" w:rsidRDefault="00DD6251" w:rsidP="00DD625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D6251">
        <w:rPr>
          <w:rFonts w:ascii="Arial" w:hAnsi="Arial" w:cs="Arial"/>
          <w:b/>
          <w:bCs/>
          <w:sz w:val="24"/>
          <w:szCs w:val="24"/>
        </w:rPr>
        <w:t>IR(2):</w:t>
      </w:r>
      <w:r w:rsidRPr="00DD6251">
        <w:rPr>
          <w:rFonts w:ascii="Arial" w:hAnsi="Arial" w:cs="Arial"/>
          <w:b/>
          <w:sz w:val="24"/>
          <w:szCs w:val="24"/>
        </w:rPr>
        <w:t> new lesions or ≥ 50% increase of existing lesion(s) without a ≥ 50% increase of overall tumor burden at any time during treatment.</w:t>
      </w:r>
    </w:p>
    <w:p w:rsidR="00DD6251" w:rsidRPr="00DD6251" w:rsidRDefault="00DD6251" w:rsidP="00DD625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D6251">
        <w:rPr>
          <w:rFonts w:ascii="Arial" w:hAnsi="Arial" w:cs="Arial"/>
          <w:b/>
          <w:bCs/>
          <w:sz w:val="24"/>
          <w:szCs w:val="24"/>
        </w:rPr>
        <w:t>IR(</w:t>
      </w:r>
      <w:proofErr w:type="gramEnd"/>
      <w:r w:rsidRPr="00DD6251">
        <w:rPr>
          <w:rFonts w:ascii="Arial" w:hAnsi="Arial" w:cs="Arial"/>
          <w:b/>
          <w:bCs/>
          <w:sz w:val="24"/>
          <w:szCs w:val="24"/>
        </w:rPr>
        <w:t>3):</w:t>
      </w:r>
      <w:r w:rsidRPr="00DD6251">
        <w:rPr>
          <w:rFonts w:ascii="Arial" w:hAnsi="Arial" w:cs="Arial"/>
          <w:b/>
          <w:sz w:val="24"/>
          <w:szCs w:val="24"/>
        </w:rPr>
        <w:t> increased </w:t>
      </w:r>
      <w:hyperlink r:id="rId6" w:history="1">
        <w:r w:rsidRPr="00DD6251">
          <w:rPr>
            <w:rStyle w:val="Hyperlink"/>
            <w:rFonts w:ascii="Arial" w:hAnsi="Arial" w:cs="Arial"/>
            <w:b/>
            <w:sz w:val="24"/>
            <w:szCs w:val="24"/>
          </w:rPr>
          <w:t>FDG</w:t>
        </w:r>
      </w:hyperlink>
      <w:r w:rsidRPr="00DD6251">
        <w:rPr>
          <w:rFonts w:ascii="Arial" w:hAnsi="Arial" w:cs="Arial"/>
          <w:b/>
          <w:sz w:val="24"/>
          <w:szCs w:val="24"/>
        </w:rPr>
        <w:t> uptake of one or more lesions without any increase in size or number of those lesions.</w:t>
      </w:r>
    </w:p>
    <w:p w:rsidR="00DD6251" w:rsidRPr="00DD6251" w:rsidRDefault="00DD6251" w:rsidP="00DD6251">
      <w:pPr>
        <w:jc w:val="both"/>
        <w:rPr>
          <w:rFonts w:ascii="Arial" w:hAnsi="Arial" w:cs="Arial"/>
          <w:b/>
          <w:sz w:val="24"/>
          <w:szCs w:val="24"/>
        </w:rPr>
      </w:pPr>
      <w:r w:rsidRPr="00DD6251">
        <w:rPr>
          <w:rFonts w:ascii="Arial" w:hAnsi="Arial" w:cs="Arial"/>
          <w:b/>
          <w:sz w:val="24"/>
          <w:szCs w:val="24"/>
        </w:rPr>
        <w:t xml:space="preserve">If two patterns of IR are present at the same time, priority should be given to </w:t>
      </w:r>
      <w:proofErr w:type="gramStart"/>
      <w:r w:rsidRPr="00DD6251">
        <w:rPr>
          <w:rFonts w:ascii="Arial" w:hAnsi="Arial" w:cs="Arial"/>
          <w:b/>
          <w:sz w:val="24"/>
          <w:szCs w:val="24"/>
        </w:rPr>
        <w:t>IR(</w:t>
      </w:r>
      <w:proofErr w:type="gramEnd"/>
      <w:r w:rsidRPr="00DD6251">
        <w:rPr>
          <w:rFonts w:ascii="Arial" w:hAnsi="Arial" w:cs="Arial"/>
          <w:b/>
          <w:sz w:val="24"/>
          <w:szCs w:val="24"/>
        </w:rPr>
        <w:t>1) or (2) over IR(3).</w:t>
      </w:r>
    </w:p>
    <w:p w:rsidR="00DD6251" w:rsidRPr="00DD6251" w:rsidRDefault="00DD6251" w:rsidP="00DD6251">
      <w:pPr>
        <w:jc w:val="both"/>
        <w:rPr>
          <w:rFonts w:ascii="Arial" w:hAnsi="Arial" w:cs="Arial"/>
          <w:b/>
          <w:sz w:val="24"/>
          <w:szCs w:val="24"/>
        </w:rPr>
      </w:pPr>
      <w:r w:rsidRPr="00DD6251">
        <w:rPr>
          <w:rFonts w:ascii="Arial" w:hAnsi="Arial" w:cs="Arial"/>
          <w:b/>
          <w:sz w:val="24"/>
          <w:szCs w:val="24"/>
        </w:rPr>
        <w:t xml:space="preserve">After an IR, a biopsy or subsequent imaging within 12 weeks is recommended to confirm true progressive disease versus a flare or </w:t>
      </w:r>
      <w:proofErr w:type="spellStart"/>
      <w:r w:rsidRPr="00DD6251">
        <w:rPr>
          <w:rFonts w:ascii="Arial" w:hAnsi="Arial" w:cs="Arial"/>
          <w:b/>
          <w:sz w:val="24"/>
          <w:szCs w:val="24"/>
        </w:rPr>
        <w:t>pseudoprogression</w:t>
      </w:r>
      <w:proofErr w:type="spellEnd"/>
      <w:r w:rsidRPr="00DD6251">
        <w:rPr>
          <w:rFonts w:ascii="Arial" w:hAnsi="Arial" w:cs="Arial"/>
          <w:b/>
          <w:sz w:val="24"/>
          <w:szCs w:val="24"/>
        </w:rPr>
        <w:t>.</w:t>
      </w:r>
    </w:p>
    <w:p w:rsidR="00DD6251" w:rsidRPr="00DD6251" w:rsidRDefault="00DD6251" w:rsidP="00DD6251">
      <w:pPr>
        <w:jc w:val="both"/>
        <w:rPr>
          <w:rFonts w:ascii="Arial" w:hAnsi="Arial" w:cs="Arial"/>
          <w:b/>
          <w:sz w:val="24"/>
          <w:szCs w:val="24"/>
          <w:lang w:val="en-GB"/>
        </w:rPr>
      </w:pPr>
    </w:p>
    <w:p w:rsidR="006A49BB" w:rsidRDefault="006A49BB" w:rsidP="00DD6251">
      <w:pPr>
        <w:jc w:val="both"/>
      </w:pPr>
    </w:p>
    <w:sectPr w:rsidR="006A49BB" w:rsidSect="00335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18F7"/>
    <w:multiLevelType w:val="multilevel"/>
    <w:tmpl w:val="01D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A49BB"/>
    <w:rsid w:val="0033572E"/>
    <w:rsid w:val="006A49BB"/>
    <w:rsid w:val="00DD6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62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iopaedia.org/articles/positron-emission-tomography?lang=u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NHSG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guptag</dc:creator>
  <cp:lastModifiedBy>guptag</cp:lastModifiedBy>
  <cp:revision>1</cp:revision>
  <dcterms:created xsi:type="dcterms:W3CDTF">2022-11-11T10:03:00Z</dcterms:created>
  <dcterms:modified xsi:type="dcterms:W3CDTF">2022-11-11T14:41:00Z</dcterms:modified>
</cp:coreProperties>
</file>