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30" w:type="dxa"/>
        <w:tblInd w:w="-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080"/>
        <w:gridCol w:w="3690"/>
        <w:gridCol w:w="3690"/>
        <w:gridCol w:w="1260"/>
      </w:tblGrid>
      <w:tr w:rsidR="004E601C" w14:paraId="20FA0640" w14:textId="77777777" w:rsidTr="000B66C9">
        <w:trPr>
          <w:trHeight w:val="1833"/>
        </w:trPr>
        <w:tc>
          <w:tcPr>
            <w:tcW w:w="1710" w:type="dxa"/>
            <w:shd w:val="clear" w:color="auto" w:fill="E5DFEC"/>
            <w:vAlign w:val="center"/>
          </w:tcPr>
          <w:p w14:paraId="7B52DF5F" w14:textId="77777777" w:rsidR="004E601C" w:rsidRDefault="004E601C" w:rsidP="002035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MRI</w:t>
            </w:r>
          </w:p>
        </w:tc>
        <w:tc>
          <w:tcPr>
            <w:tcW w:w="1080" w:type="dxa"/>
            <w:shd w:val="clear" w:color="auto" w:fill="E5DFEC"/>
            <w:vAlign w:val="center"/>
          </w:tcPr>
          <w:p w14:paraId="35502A96" w14:textId="77777777" w:rsidR="004E601C" w:rsidRDefault="004E601C" w:rsidP="002035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PLANE</w:t>
            </w:r>
          </w:p>
        </w:tc>
        <w:tc>
          <w:tcPr>
            <w:tcW w:w="3690" w:type="dxa"/>
            <w:shd w:val="clear" w:color="auto" w:fill="E5DFEC"/>
            <w:vAlign w:val="center"/>
          </w:tcPr>
          <w:p w14:paraId="5F7E85B2" w14:textId="77777777" w:rsidR="004E601C" w:rsidRDefault="004E601C" w:rsidP="002035B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BASIC</w:t>
            </w:r>
          </w:p>
        </w:tc>
        <w:tc>
          <w:tcPr>
            <w:tcW w:w="3690" w:type="dxa"/>
            <w:shd w:val="clear" w:color="auto" w:fill="E5DFEC"/>
            <w:vAlign w:val="center"/>
          </w:tcPr>
          <w:p w14:paraId="13DBE944" w14:textId="77777777" w:rsidR="004E601C" w:rsidRDefault="004E601C" w:rsidP="00140E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Remarks</w:t>
            </w:r>
          </w:p>
        </w:tc>
        <w:tc>
          <w:tcPr>
            <w:tcW w:w="1260" w:type="dxa"/>
            <w:shd w:val="clear" w:color="auto" w:fill="E5DFEC"/>
            <w:vAlign w:val="center"/>
          </w:tcPr>
          <w:p w14:paraId="769082E2" w14:textId="77777777" w:rsidR="004E601C" w:rsidRDefault="004E601C" w:rsidP="002035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No. of Sequences/ Minimum Scan Time/In-Out Time</w:t>
            </w:r>
          </w:p>
        </w:tc>
      </w:tr>
      <w:tr w:rsidR="00BB3E1F" w14:paraId="66370ECD" w14:textId="77777777" w:rsidTr="00BB3E1F">
        <w:trPr>
          <w:trHeight w:val="350"/>
        </w:trPr>
        <w:tc>
          <w:tcPr>
            <w:tcW w:w="1710" w:type="dxa"/>
            <w:vMerge w:val="restart"/>
            <w:shd w:val="clear" w:color="auto" w:fill="FFFFFF"/>
            <w:vAlign w:val="center"/>
          </w:tcPr>
          <w:p w14:paraId="32CE792D" w14:textId="77777777" w:rsidR="00BB3E1F" w:rsidRDefault="00BB3E1F" w:rsidP="00203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enterogrpahy</w:t>
            </w:r>
            <w:proofErr w:type="spellEnd"/>
          </w:p>
        </w:tc>
        <w:tc>
          <w:tcPr>
            <w:tcW w:w="4770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60B8878" w14:textId="77777777" w:rsidR="00BB3E1F" w:rsidRPr="00BB3E1F" w:rsidRDefault="00BB3E1F" w:rsidP="00BB3E1F">
            <w:pPr>
              <w:spacing w:after="0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 to Buscopan injection</w:t>
            </w:r>
          </w:p>
        </w:tc>
        <w:tc>
          <w:tcPr>
            <w:tcW w:w="3690" w:type="dxa"/>
            <w:vMerge w:val="restart"/>
            <w:shd w:val="clear" w:color="auto" w:fill="FFFFFF"/>
            <w:vAlign w:val="center"/>
          </w:tcPr>
          <w:p w14:paraId="737F2441" w14:textId="77777777" w:rsidR="00BB3E1F" w:rsidRPr="00BB3E1F" w:rsidRDefault="00BB3E1F" w:rsidP="00BB3E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E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Patient to be kept nil orally at least 4 hours prior to study. </w:t>
            </w:r>
          </w:p>
          <w:p w14:paraId="6F9EC872" w14:textId="77777777" w:rsidR="00BB3E1F" w:rsidRPr="00BB3E1F" w:rsidRDefault="00BB3E1F" w:rsidP="00BB3E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E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2 % Mannitol to </w:t>
            </w:r>
            <w:r w:rsidR="00F164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be </w:t>
            </w:r>
            <w:r w:rsidRPr="00BB3E1F">
              <w:rPr>
                <w:rFonts w:ascii="Times New Roman" w:eastAsia="Times New Roman" w:hAnsi="Times New Roman" w:cs="Times New Roman"/>
                <w:sz w:val="20"/>
                <w:szCs w:val="20"/>
              </w:rPr>
              <w:t>given orally.</w:t>
            </w:r>
          </w:p>
          <w:p w14:paraId="397CC0C4" w14:textId="77777777" w:rsidR="00BB3E1F" w:rsidRPr="00BB3E1F" w:rsidRDefault="00BB3E1F" w:rsidP="00BB3E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B3E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Preparing Mannitol solution:</w:t>
            </w:r>
          </w:p>
          <w:p w14:paraId="01FBE2B8" w14:textId="77777777" w:rsidR="00BB3E1F" w:rsidRPr="00BB3E1F" w:rsidRDefault="00BB3E1F" w:rsidP="00F164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E1F">
              <w:rPr>
                <w:rFonts w:ascii="Times New Roman" w:eastAsia="Times New Roman" w:hAnsi="Times New Roman" w:cs="Times New Roman"/>
                <w:sz w:val="20"/>
                <w:szCs w:val="20"/>
              </w:rPr>
              <w:t>Use 20% (W/V) IV Mannitol bottle which is 100</w:t>
            </w:r>
            <w:r w:rsidR="00F164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/500 </w:t>
            </w:r>
            <w:r w:rsidR="00F164BF" w:rsidRPr="00BB3E1F">
              <w:rPr>
                <w:rFonts w:ascii="Times New Roman" w:eastAsia="Times New Roman" w:hAnsi="Times New Roman" w:cs="Times New Roman"/>
                <w:sz w:val="20"/>
                <w:szCs w:val="20"/>
              </w:rPr>
              <w:t>ml</w:t>
            </w:r>
            <w:r w:rsidRPr="00BB3E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 volume. Add </w:t>
            </w:r>
            <w:r w:rsidR="00F164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200ml Mannitol </w:t>
            </w:r>
            <w:r w:rsidRPr="00BB3E1F">
              <w:rPr>
                <w:rFonts w:ascii="Times New Roman" w:eastAsia="Times New Roman" w:hAnsi="Times New Roman" w:cs="Times New Roman"/>
                <w:sz w:val="20"/>
                <w:szCs w:val="20"/>
              </w:rPr>
              <w:t>in water to make total volume to 2000 ml (you will therefore need 1800 ml water</w:t>
            </w:r>
            <w:r w:rsidR="00F164BF" w:rsidRPr="00BB3E1F">
              <w:rPr>
                <w:rFonts w:ascii="Times New Roman" w:eastAsia="Times New Roman" w:hAnsi="Times New Roman" w:cs="Times New Roman"/>
                <w:sz w:val="20"/>
                <w:szCs w:val="20"/>
              </w:rPr>
              <w:t>) -</w:t>
            </w:r>
            <w:r w:rsidRPr="00BB3E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B3E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this will produce 2 % Mannitol solution</w:t>
            </w:r>
            <w:r w:rsidRPr="00BB3E1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7355335" w14:textId="77777777" w:rsidR="00BB3E1F" w:rsidRPr="00BB3E1F" w:rsidRDefault="00BB3E1F" w:rsidP="00BB3E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E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Administrating Mannitol solution to patient:</w:t>
            </w:r>
            <w:r w:rsidRPr="00BB3E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Give 1200ml to patient and ask him to drink all of it in next 45 minute </w:t>
            </w:r>
            <w:r w:rsidR="00F164BF" w:rsidRPr="00BB3E1F">
              <w:rPr>
                <w:rFonts w:ascii="Times New Roman" w:eastAsia="Times New Roman" w:hAnsi="Times New Roman" w:cs="Times New Roman"/>
                <w:sz w:val="20"/>
                <w:szCs w:val="20"/>
              </w:rPr>
              <w:t>(400</w:t>
            </w:r>
            <w:r w:rsidRPr="00BB3E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ml every 15 minutes).  Give around 300 ml solution at table (total given 1500 ml</w:t>
            </w:r>
            <w:r w:rsidR="00F164BF" w:rsidRPr="00BB3E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). </w:t>
            </w:r>
          </w:p>
          <w:p w14:paraId="13C5F219" w14:textId="77777777" w:rsidR="00BB3E1F" w:rsidRPr="00BB3E1F" w:rsidRDefault="00BB3E1F" w:rsidP="00BB3E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E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Scanning:</w:t>
            </w:r>
            <w:r w:rsidRPr="00BB3E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Patient scanned in prone position (preferred).</w:t>
            </w:r>
          </w:p>
          <w:p w14:paraId="2BE56B65" w14:textId="77777777" w:rsidR="00BB3E1F" w:rsidRPr="00BB3E1F" w:rsidRDefault="00F164BF" w:rsidP="00BB3E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Buscopan to be given (double administration)</w:t>
            </w:r>
          </w:p>
          <w:p w14:paraId="1B55D204" w14:textId="77777777" w:rsidR="00BB3E1F" w:rsidRPr="00BB3E1F" w:rsidRDefault="00BB3E1F" w:rsidP="00F164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B3E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 w:rsidR="00F164BF" w:rsidRPr="00F164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/</w:t>
            </w:r>
            <w:r w:rsidRPr="00BB3E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 of Buscopan:</w:t>
            </w:r>
          </w:p>
          <w:p w14:paraId="4666B281" w14:textId="77777777" w:rsidR="00BB3E1F" w:rsidRPr="00BB3E1F" w:rsidRDefault="00BB3E1F" w:rsidP="00BB3E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E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Myasthenia Gravis, Megacolon. Narrow angle glaucoma. Tachycardia. Prostatic enlargement with urinary retention, GI obstruction and paralytic ileus. </w:t>
            </w:r>
          </w:p>
          <w:p w14:paraId="6CDACA8A" w14:textId="77777777" w:rsidR="00BB3E1F" w:rsidRPr="00BB3E1F" w:rsidRDefault="00BB3E1F" w:rsidP="00BB3E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B3E1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Post scan complication:</w:t>
            </w:r>
          </w:p>
          <w:p w14:paraId="2098FB82" w14:textId="77777777" w:rsidR="00BB3E1F" w:rsidRPr="00BB3E1F" w:rsidRDefault="00BB3E1F" w:rsidP="00BB3E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B3E1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Mannitol </w:t>
            </w:r>
            <w:r w:rsidRPr="00BB3E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can cause diarrhea and excess abdominal cramps and </w:t>
            </w:r>
            <w:r w:rsidR="00F164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intestinal </w:t>
            </w:r>
            <w:r w:rsidRPr="00BB3E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gases for next 1-2 days. </w:t>
            </w:r>
          </w:p>
          <w:p w14:paraId="27F568F1" w14:textId="77777777" w:rsidR="00BB3E1F" w:rsidRDefault="00BB3E1F" w:rsidP="00BB3E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4B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Buscopan</w:t>
            </w:r>
            <w:r w:rsidRPr="00BB3E1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can cause blurred vision for about 30 minutes after the procedure- do not allow patient to go out of hospital for 30</w:t>
            </w:r>
            <w:r w:rsidR="00F164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BB3E1F">
              <w:rPr>
                <w:rFonts w:ascii="Times New Roman" w:eastAsia="Times New Roman" w:hAnsi="Times New Roman" w:cs="Times New Roman"/>
                <w:sz w:val="20"/>
                <w:szCs w:val="20"/>
              </w:rPr>
              <w:t>minutes.</w:t>
            </w:r>
          </w:p>
        </w:tc>
        <w:tc>
          <w:tcPr>
            <w:tcW w:w="1260" w:type="dxa"/>
            <w:vMerge w:val="restart"/>
            <w:shd w:val="clear" w:color="auto" w:fill="FFFFFF"/>
            <w:vAlign w:val="center"/>
          </w:tcPr>
          <w:p w14:paraId="0CC7C0AB" w14:textId="77777777" w:rsidR="00BB3E1F" w:rsidRDefault="00F164BF" w:rsidP="00140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sequences. </w:t>
            </w:r>
          </w:p>
        </w:tc>
      </w:tr>
      <w:tr w:rsidR="00BB3E1F" w14:paraId="3C6D384D" w14:textId="77777777" w:rsidTr="00F164BF">
        <w:trPr>
          <w:trHeight w:val="530"/>
        </w:trPr>
        <w:tc>
          <w:tcPr>
            <w:tcW w:w="1710" w:type="dxa"/>
            <w:vMerge/>
            <w:shd w:val="clear" w:color="auto" w:fill="FFFFFF"/>
            <w:vAlign w:val="center"/>
          </w:tcPr>
          <w:p w14:paraId="693FAE87" w14:textId="77777777" w:rsidR="00BB3E1F" w:rsidRDefault="00BB3E1F" w:rsidP="00203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B176C00" w14:textId="77777777" w:rsidR="00BB3E1F" w:rsidRDefault="00BB3E1F" w:rsidP="00203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Axial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C97189C" w14:textId="77777777" w:rsidR="00BB3E1F" w:rsidRPr="00F164BF" w:rsidRDefault="00BB3E1F" w:rsidP="00F164BF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T2 True </w:t>
            </w:r>
            <w:proofErr w:type="gramStart"/>
            <w:r>
              <w:rPr>
                <w:sz w:val="24"/>
                <w:szCs w:val="24"/>
              </w:rPr>
              <w:t>FISP( 4</w:t>
            </w:r>
            <w:proofErr w:type="gramEnd"/>
            <w:r>
              <w:rPr>
                <w:sz w:val="24"/>
                <w:szCs w:val="24"/>
              </w:rPr>
              <w:t>mm)</w:t>
            </w:r>
          </w:p>
        </w:tc>
        <w:tc>
          <w:tcPr>
            <w:tcW w:w="3690" w:type="dxa"/>
            <w:vMerge/>
            <w:shd w:val="clear" w:color="auto" w:fill="FFFFFF"/>
            <w:vAlign w:val="center"/>
          </w:tcPr>
          <w:p w14:paraId="2B9805FE" w14:textId="77777777" w:rsidR="00BB3E1F" w:rsidRDefault="00BB3E1F" w:rsidP="00140E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shd w:val="clear" w:color="auto" w:fill="FFFFFF"/>
            <w:vAlign w:val="center"/>
          </w:tcPr>
          <w:p w14:paraId="022ABBA4" w14:textId="77777777" w:rsidR="00BB3E1F" w:rsidRDefault="00BB3E1F" w:rsidP="00140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3E1F" w14:paraId="5948C44A" w14:textId="77777777" w:rsidTr="00F164BF">
        <w:trPr>
          <w:trHeight w:val="431"/>
        </w:trPr>
        <w:tc>
          <w:tcPr>
            <w:tcW w:w="1710" w:type="dxa"/>
            <w:vMerge/>
            <w:shd w:val="clear" w:color="auto" w:fill="FFFFFF"/>
            <w:vAlign w:val="center"/>
          </w:tcPr>
          <w:p w14:paraId="4515C4E1" w14:textId="77777777" w:rsidR="00BB3E1F" w:rsidRDefault="00BB3E1F" w:rsidP="00203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F2ED396" w14:textId="77777777" w:rsidR="00BB3E1F" w:rsidRDefault="00BB3E1F" w:rsidP="00203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Coronal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2781840" w14:textId="77777777" w:rsidR="00BB3E1F" w:rsidRPr="00F164BF" w:rsidRDefault="00BB3E1F" w:rsidP="00F164BF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 True FISP (4mm)</w:t>
            </w:r>
          </w:p>
        </w:tc>
        <w:tc>
          <w:tcPr>
            <w:tcW w:w="3690" w:type="dxa"/>
            <w:vMerge/>
            <w:shd w:val="clear" w:color="auto" w:fill="FFFFFF"/>
            <w:vAlign w:val="center"/>
          </w:tcPr>
          <w:p w14:paraId="04474BB6" w14:textId="77777777" w:rsidR="00BB3E1F" w:rsidRDefault="00BB3E1F" w:rsidP="00140E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shd w:val="clear" w:color="auto" w:fill="FFFFFF"/>
            <w:vAlign w:val="center"/>
          </w:tcPr>
          <w:p w14:paraId="3E302D5B" w14:textId="77777777" w:rsidR="00BB3E1F" w:rsidRDefault="00BB3E1F" w:rsidP="00140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3E1F" w14:paraId="555377EB" w14:textId="77777777" w:rsidTr="00BB3E1F">
        <w:trPr>
          <w:trHeight w:val="926"/>
        </w:trPr>
        <w:tc>
          <w:tcPr>
            <w:tcW w:w="1710" w:type="dxa"/>
            <w:vMerge/>
            <w:shd w:val="clear" w:color="auto" w:fill="FFFFFF"/>
            <w:vAlign w:val="center"/>
          </w:tcPr>
          <w:p w14:paraId="579F289E" w14:textId="77777777" w:rsidR="00BB3E1F" w:rsidRDefault="00BB3E1F" w:rsidP="00203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FE61828" w14:textId="77777777" w:rsidR="00BB3E1F" w:rsidRPr="00BB3E1F" w:rsidRDefault="00BB3E1F" w:rsidP="00BB3E1F">
            <w:pPr>
              <w:spacing w:after="0" w:line="240" w:lineRule="auto"/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3712AC">
              <w:rPr>
                <w:b/>
                <w:bCs/>
                <w:sz w:val="24"/>
                <w:szCs w:val="24"/>
              </w:rPr>
              <w:t xml:space="preserve">After first IV Buscopan (0.5-1 ml as per body weight- 0.01 ml /kg) –wait </w:t>
            </w:r>
            <w:r>
              <w:rPr>
                <w:b/>
                <w:bCs/>
                <w:sz w:val="24"/>
                <w:szCs w:val="24"/>
              </w:rPr>
              <w:t>1 minute before next scan</w:t>
            </w:r>
          </w:p>
        </w:tc>
        <w:tc>
          <w:tcPr>
            <w:tcW w:w="3690" w:type="dxa"/>
            <w:vMerge/>
            <w:shd w:val="clear" w:color="auto" w:fill="FFFFFF"/>
            <w:vAlign w:val="center"/>
          </w:tcPr>
          <w:p w14:paraId="09397972" w14:textId="77777777" w:rsidR="00BB3E1F" w:rsidRDefault="00BB3E1F" w:rsidP="00140E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shd w:val="clear" w:color="auto" w:fill="FFFFFF"/>
            <w:vAlign w:val="center"/>
          </w:tcPr>
          <w:p w14:paraId="7CF4C5C1" w14:textId="77777777" w:rsidR="00BB3E1F" w:rsidRDefault="00BB3E1F" w:rsidP="00140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3E1F" w14:paraId="1DA4719D" w14:textId="77777777" w:rsidTr="00BB3E1F">
        <w:trPr>
          <w:trHeight w:val="526"/>
        </w:trPr>
        <w:tc>
          <w:tcPr>
            <w:tcW w:w="1710" w:type="dxa"/>
            <w:vMerge/>
            <w:shd w:val="clear" w:color="auto" w:fill="FFFFFF"/>
            <w:vAlign w:val="center"/>
          </w:tcPr>
          <w:p w14:paraId="7E2C677B" w14:textId="77777777" w:rsidR="00BB3E1F" w:rsidRDefault="00BB3E1F" w:rsidP="00203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88AD638" w14:textId="77777777" w:rsidR="00BB3E1F" w:rsidRDefault="00BB3E1F" w:rsidP="00203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Axial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148D179" w14:textId="77777777" w:rsidR="00BB3E1F" w:rsidRDefault="00BB3E1F" w:rsidP="00F164BF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T2-SSFSE/HASTE with fat sat</w:t>
            </w:r>
            <w:r w:rsidR="00F164BF">
              <w:rPr>
                <w:sz w:val="24"/>
                <w:szCs w:val="24"/>
              </w:rPr>
              <w:t>(4mm)</w:t>
            </w:r>
          </w:p>
          <w:p w14:paraId="7198F276" w14:textId="77777777" w:rsidR="00BB3E1F" w:rsidRDefault="00BB3E1F" w:rsidP="00BB3E1F">
            <w:pPr>
              <w:spacing w:after="0"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3690" w:type="dxa"/>
            <w:vMerge/>
            <w:shd w:val="clear" w:color="auto" w:fill="FFFFFF"/>
            <w:vAlign w:val="center"/>
          </w:tcPr>
          <w:p w14:paraId="139A7B1A" w14:textId="77777777" w:rsidR="00BB3E1F" w:rsidRDefault="00BB3E1F" w:rsidP="00140E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shd w:val="clear" w:color="auto" w:fill="FFFFFF"/>
            <w:vAlign w:val="center"/>
          </w:tcPr>
          <w:p w14:paraId="28714D05" w14:textId="77777777" w:rsidR="00BB3E1F" w:rsidRDefault="00BB3E1F" w:rsidP="00140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3E1F" w14:paraId="4AA8E33D" w14:textId="77777777" w:rsidTr="00BB3E1F">
        <w:trPr>
          <w:trHeight w:val="593"/>
        </w:trPr>
        <w:tc>
          <w:tcPr>
            <w:tcW w:w="1710" w:type="dxa"/>
            <w:vMerge/>
            <w:shd w:val="clear" w:color="auto" w:fill="FFFFFF"/>
            <w:vAlign w:val="center"/>
          </w:tcPr>
          <w:p w14:paraId="48A761BC" w14:textId="77777777" w:rsidR="00BB3E1F" w:rsidRDefault="00BB3E1F" w:rsidP="00203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85D50FF" w14:textId="77777777" w:rsidR="00BB3E1F" w:rsidRDefault="00BB3E1F" w:rsidP="00203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Coronal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EF92F77" w14:textId="77777777" w:rsidR="00F164BF" w:rsidRDefault="00F164BF" w:rsidP="00F164BF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T1 Flash fat sat 3 D (0.9-1.0 mm) </w:t>
            </w:r>
          </w:p>
          <w:p w14:paraId="089EA021" w14:textId="77777777" w:rsidR="00BB3E1F" w:rsidRPr="00F164BF" w:rsidRDefault="00BB3E1F" w:rsidP="00BB3E1F">
            <w:pPr>
              <w:spacing w:after="0" w:line="240" w:lineRule="auto"/>
              <w:contextualSpacing/>
              <w:rPr>
                <w:b/>
                <w:bCs/>
                <w:i/>
                <w:iCs/>
                <w:sz w:val="18"/>
                <w:szCs w:val="18"/>
              </w:rPr>
            </w:pPr>
            <w:r w:rsidRPr="00F164BF">
              <w:rPr>
                <w:b/>
                <w:bCs/>
                <w:i/>
                <w:iCs/>
                <w:sz w:val="18"/>
                <w:szCs w:val="18"/>
              </w:rPr>
              <w:t>(</w:t>
            </w:r>
            <w:proofErr w:type="gramStart"/>
            <w:r w:rsidRPr="00F164BF">
              <w:rPr>
                <w:b/>
                <w:bCs/>
                <w:i/>
                <w:iCs/>
                <w:sz w:val="18"/>
                <w:szCs w:val="18"/>
              </w:rPr>
              <w:t>first</w:t>
            </w:r>
            <w:proofErr w:type="gramEnd"/>
            <w:r w:rsidRPr="00F164BF">
              <w:rPr>
                <w:b/>
                <w:bCs/>
                <w:i/>
                <w:iCs/>
                <w:sz w:val="18"/>
                <w:szCs w:val="18"/>
              </w:rPr>
              <w:t xml:space="preserve"> sequence to acquire after Buscopan injection)</w:t>
            </w:r>
          </w:p>
          <w:p w14:paraId="4871D8CC" w14:textId="77777777" w:rsidR="00BB3E1F" w:rsidRDefault="00BB3E1F" w:rsidP="00F164BF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T2-SSFSE/HASTE without fat sat</w:t>
            </w:r>
            <w:r w:rsidR="00F164BF">
              <w:rPr>
                <w:sz w:val="24"/>
                <w:szCs w:val="24"/>
              </w:rPr>
              <w:t xml:space="preserve"> (4mm)</w:t>
            </w:r>
          </w:p>
        </w:tc>
        <w:tc>
          <w:tcPr>
            <w:tcW w:w="3690" w:type="dxa"/>
            <w:vMerge/>
            <w:shd w:val="clear" w:color="auto" w:fill="FFFFFF"/>
            <w:vAlign w:val="center"/>
          </w:tcPr>
          <w:p w14:paraId="5296D689" w14:textId="77777777" w:rsidR="00BB3E1F" w:rsidRDefault="00BB3E1F" w:rsidP="00140E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shd w:val="clear" w:color="auto" w:fill="FFFFFF"/>
            <w:vAlign w:val="center"/>
          </w:tcPr>
          <w:p w14:paraId="7FB12A18" w14:textId="77777777" w:rsidR="00BB3E1F" w:rsidRDefault="00BB3E1F" w:rsidP="00140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3E1F" w14:paraId="1932F41B" w14:textId="77777777" w:rsidTr="00BB3E1F">
        <w:trPr>
          <w:trHeight w:val="431"/>
        </w:trPr>
        <w:tc>
          <w:tcPr>
            <w:tcW w:w="1710" w:type="dxa"/>
            <w:vMerge/>
            <w:shd w:val="clear" w:color="auto" w:fill="FFFFFF"/>
            <w:vAlign w:val="center"/>
          </w:tcPr>
          <w:p w14:paraId="4C22730D" w14:textId="77777777" w:rsidR="00BB3E1F" w:rsidRDefault="00BB3E1F" w:rsidP="00203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0A49608" w14:textId="77777777" w:rsidR="00BB3E1F" w:rsidRDefault="00BB3E1F" w:rsidP="00BB3E1F">
            <w:pPr>
              <w:spacing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After </w:t>
            </w:r>
            <w:r w:rsidRPr="003712AC">
              <w:rPr>
                <w:b/>
                <w:bCs/>
                <w:sz w:val="24"/>
                <w:szCs w:val="24"/>
              </w:rPr>
              <w:t>Second IV Buscopan inj</w:t>
            </w:r>
            <w:r w:rsidR="00F164BF">
              <w:rPr>
                <w:b/>
                <w:bCs/>
                <w:sz w:val="24"/>
                <w:szCs w:val="24"/>
              </w:rPr>
              <w:t>ection</w:t>
            </w:r>
            <w:r w:rsidRPr="003712AC">
              <w:rPr>
                <w:b/>
                <w:bCs/>
                <w:sz w:val="24"/>
                <w:szCs w:val="24"/>
              </w:rPr>
              <w:t xml:space="preserve"> (same dose) Plus Inj</w:t>
            </w:r>
            <w:r w:rsidR="00F164BF">
              <w:rPr>
                <w:b/>
                <w:bCs/>
                <w:sz w:val="24"/>
                <w:szCs w:val="24"/>
              </w:rPr>
              <w:t>ection</w:t>
            </w:r>
            <w:r w:rsidRPr="003712AC">
              <w:rPr>
                <w:b/>
                <w:bCs/>
                <w:sz w:val="24"/>
                <w:szCs w:val="24"/>
              </w:rPr>
              <w:t xml:space="preserve"> Gadolinium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690" w:type="dxa"/>
            <w:vMerge/>
            <w:shd w:val="clear" w:color="auto" w:fill="FFFFFF"/>
            <w:vAlign w:val="center"/>
          </w:tcPr>
          <w:p w14:paraId="251CA8B8" w14:textId="77777777" w:rsidR="00BB3E1F" w:rsidRDefault="00BB3E1F" w:rsidP="00140E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shd w:val="clear" w:color="auto" w:fill="FFFFFF"/>
            <w:vAlign w:val="center"/>
          </w:tcPr>
          <w:p w14:paraId="57815F54" w14:textId="77777777" w:rsidR="00BB3E1F" w:rsidRDefault="00BB3E1F" w:rsidP="00140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3E1F" w14:paraId="489D3DAD" w14:textId="77777777" w:rsidTr="00BB3E1F">
        <w:trPr>
          <w:trHeight w:val="626"/>
        </w:trPr>
        <w:tc>
          <w:tcPr>
            <w:tcW w:w="1710" w:type="dxa"/>
            <w:vMerge/>
            <w:shd w:val="clear" w:color="auto" w:fill="FFFFFF"/>
            <w:vAlign w:val="center"/>
          </w:tcPr>
          <w:p w14:paraId="52CB7A70" w14:textId="77777777" w:rsidR="00BB3E1F" w:rsidRDefault="00BB3E1F" w:rsidP="00203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324F13A" w14:textId="77777777" w:rsidR="00BB3E1F" w:rsidRDefault="00BB3E1F" w:rsidP="00203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Axial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B473668" w14:textId="77777777" w:rsidR="00BB3E1F" w:rsidRDefault="00F164BF" w:rsidP="00F164BF">
            <w:pPr>
              <w:spacing w:after="0"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 Flash fat sat 3 d (1- 1.5 mm)</w:t>
            </w:r>
          </w:p>
        </w:tc>
        <w:tc>
          <w:tcPr>
            <w:tcW w:w="3690" w:type="dxa"/>
            <w:vMerge/>
            <w:shd w:val="clear" w:color="auto" w:fill="FFFFFF"/>
            <w:vAlign w:val="center"/>
          </w:tcPr>
          <w:p w14:paraId="15FF02AF" w14:textId="77777777" w:rsidR="00BB3E1F" w:rsidRDefault="00BB3E1F" w:rsidP="00140E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shd w:val="clear" w:color="auto" w:fill="FFFFFF"/>
            <w:vAlign w:val="center"/>
          </w:tcPr>
          <w:p w14:paraId="7316B150" w14:textId="77777777" w:rsidR="00BB3E1F" w:rsidRDefault="00BB3E1F" w:rsidP="00140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3E1F" w14:paraId="178D860F" w14:textId="77777777" w:rsidTr="00BB3E1F">
        <w:trPr>
          <w:trHeight w:val="438"/>
        </w:trPr>
        <w:tc>
          <w:tcPr>
            <w:tcW w:w="1710" w:type="dxa"/>
            <w:vMerge/>
            <w:shd w:val="clear" w:color="auto" w:fill="FFFFFF"/>
            <w:vAlign w:val="center"/>
          </w:tcPr>
          <w:p w14:paraId="5353FA2D" w14:textId="77777777" w:rsidR="00BB3E1F" w:rsidRDefault="00BB3E1F" w:rsidP="00203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7B17281" w14:textId="77777777" w:rsidR="00BB3E1F" w:rsidRDefault="00BB3E1F" w:rsidP="00203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Coronal</w:t>
            </w:r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D8296C1" w14:textId="77777777" w:rsidR="00F164BF" w:rsidRPr="00F164BF" w:rsidRDefault="00BB3E1F" w:rsidP="00F164BF">
            <w:pPr>
              <w:spacing w:after="0" w:line="240" w:lineRule="auto"/>
              <w:contextualSpacing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sz w:val="24"/>
                <w:szCs w:val="24"/>
              </w:rPr>
              <w:t>T1 Flash fat sat 3 D</w:t>
            </w:r>
            <w:r w:rsidR="00F164BF">
              <w:rPr>
                <w:sz w:val="24"/>
                <w:szCs w:val="24"/>
              </w:rPr>
              <w:t xml:space="preserve"> (0.9-1.0 mm) </w:t>
            </w:r>
            <w:r w:rsidR="00F164BF" w:rsidRPr="00F164BF">
              <w:rPr>
                <w:b/>
                <w:bCs/>
                <w:i/>
                <w:iCs/>
                <w:sz w:val="18"/>
                <w:szCs w:val="18"/>
              </w:rPr>
              <w:t xml:space="preserve">(first sequence to acquire after </w:t>
            </w:r>
            <w:r w:rsidR="00F164BF">
              <w:rPr>
                <w:b/>
                <w:bCs/>
                <w:i/>
                <w:iCs/>
                <w:sz w:val="18"/>
                <w:szCs w:val="18"/>
              </w:rPr>
              <w:t xml:space="preserve">contrast </w:t>
            </w:r>
            <w:r w:rsidR="00F164BF" w:rsidRPr="00F164BF">
              <w:rPr>
                <w:b/>
                <w:bCs/>
                <w:i/>
                <w:iCs/>
                <w:sz w:val="18"/>
                <w:szCs w:val="18"/>
              </w:rPr>
              <w:t>injection)</w:t>
            </w:r>
          </w:p>
          <w:p w14:paraId="25DE466D" w14:textId="77777777" w:rsidR="00BB3E1F" w:rsidRDefault="00BB3E1F" w:rsidP="00BB3E1F">
            <w:pPr>
              <w:spacing w:after="0"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3690" w:type="dxa"/>
            <w:vMerge/>
            <w:shd w:val="clear" w:color="auto" w:fill="FFFFFF"/>
            <w:vAlign w:val="center"/>
          </w:tcPr>
          <w:p w14:paraId="5B40950B" w14:textId="77777777" w:rsidR="00BB3E1F" w:rsidRDefault="00BB3E1F" w:rsidP="00140E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shd w:val="clear" w:color="auto" w:fill="FFFFFF"/>
            <w:vAlign w:val="center"/>
          </w:tcPr>
          <w:p w14:paraId="57A2B1D8" w14:textId="77777777" w:rsidR="00BB3E1F" w:rsidRDefault="00BB3E1F" w:rsidP="00140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5CB814" w14:textId="77777777" w:rsidR="004100ED" w:rsidRDefault="004100ED" w:rsidP="00F164BF"/>
    <w:p w14:paraId="443A966A" w14:textId="77777777" w:rsidR="004A76C2" w:rsidRDefault="004A76C2" w:rsidP="00F164BF">
      <w:pPr>
        <w:rPr>
          <w:rStyle w:val="Strong"/>
          <w:rFonts w:ascii="Noto Sans" w:hAnsi="Noto Sans" w:cs="Noto Sans"/>
          <w:color w:val="232323"/>
          <w:shd w:val="clear" w:color="auto" w:fill="FFFFFF"/>
        </w:rPr>
      </w:pPr>
      <w:r>
        <w:rPr>
          <w:rStyle w:val="Strong"/>
          <w:rFonts w:ascii="Noto Sans" w:hAnsi="Noto Sans" w:cs="Noto Sans"/>
          <w:color w:val="232323"/>
          <w:shd w:val="clear" w:color="auto" w:fill="FFFFFF"/>
        </w:rPr>
        <w:t>Phases:</w:t>
      </w:r>
    </w:p>
    <w:p w14:paraId="0ECD9F9E" w14:textId="017127A0" w:rsidR="00CC6EDC" w:rsidRDefault="00CC6EDC" w:rsidP="00F164BF">
      <w:pPr>
        <w:rPr>
          <w:rStyle w:val="Strong"/>
          <w:rFonts w:ascii="Noto Sans" w:hAnsi="Noto Sans" w:cs="Noto Sans"/>
          <w:color w:val="232323"/>
          <w:shd w:val="clear" w:color="auto" w:fill="FFFFFF"/>
        </w:rPr>
      </w:pPr>
      <w:r w:rsidRPr="003712AC">
        <w:rPr>
          <w:b/>
          <w:bCs/>
          <w:sz w:val="24"/>
          <w:szCs w:val="24"/>
        </w:rPr>
        <w:t xml:space="preserve">After first IV </w:t>
      </w:r>
      <w:proofErr w:type="spellStart"/>
      <w:r w:rsidRPr="003712AC">
        <w:rPr>
          <w:b/>
          <w:bCs/>
          <w:sz w:val="24"/>
          <w:szCs w:val="24"/>
        </w:rPr>
        <w:t>Buscopan</w:t>
      </w:r>
      <w:proofErr w:type="spellEnd"/>
      <w:r w:rsidRPr="003712AC">
        <w:rPr>
          <w:b/>
          <w:bCs/>
          <w:sz w:val="24"/>
          <w:szCs w:val="24"/>
        </w:rPr>
        <w:t xml:space="preserve"> (0.5-1 ml as per body weight- 0.01 ml /kg) –wait </w:t>
      </w:r>
      <w:r>
        <w:rPr>
          <w:b/>
          <w:bCs/>
          <w:sz w:val="24"/>
          <w:szCs w:val="24"/>
        </w:rPr>
        <w:t xml:space="preserve">1 minute before next </w:t>
      </w:r>
      <w:proofErr w:type="gramStart"/>
      <w:r>
        <w:rPr>
          <w:b/>
          <w:bCs/>
          <w:sz w:val="24"/>
          <w:szCs w:val="24"/>
        </w:rPr>
        <w:t>scan</w:t>
      </w:r>
      <w:proofErr w:type="gramEnd"/>
    </w:p>
    <w:p w14:paraId="4E743972" w14:textId="2294DEF8" w:rsidR="004A76C2" w:rsidRDefault="004A76C2" w:rsidP="00F164BF">
      <w:pPr>
        <w:rPr>
          <w:rFonts w:ascii="Noto Sans" w:hAnsi="Noto Sans" w:cs="Noto Sans"/>
          <w:color w:val="232323"/>
          <w:shd w:val="clear" w:color="auto" w:fill="FFFFFF"/>
        </w:rPr>
      </w:pPr>
      <w:r>
        <w:rPr>
          <w:rFonts w:ascii="Noto Sans" w:hAnsi="Noto Sans" w:cs="Noto Sans"/>
          <w:color w:val="232323"/>
          <w:shd w:val="clear" w:color="auto" w:fill="FFFFFF"/>
        </w:rPr>
        <w:t xml:space="preserve">Arterial: </w:t>
      </w:r>
      <w:proofErr w:type="spellStart"/>
      <w:r>
        <w:rPr>
          <w:rFonts w:ascii="Noto Sans" w:hAnsi="Noto Sans" w:cs="Noto Sans"/>
          <w:color w:val="232323"/>
          <w:shd w:val="clear" w:color="auto" w:fill="FFFFFF"/>
        </w:rPr>
        <w:t>angio</w:t>
      </w:r>
      <w:proofErr w:type="spellEnd"/>
      <w:r>
        <w:rPr>
          <w:rFonts w:ascii="Noto Sans" w:hAnsi="Noto Sans" w:cs="Noto Sans"/>
          <w:color w:val="232323"/>
          <w:shd w:val="clear" w:color="auto" w:fill="FFFFFF"/>
        </w:rPr>
        <w:t xml:space="preserve"> phase (for small bowel tumors)</w:t>
      </w:r>
    </w:p>
    <w:p w14:paraId="56F0EA53" w14:textId="1183349F" w:rsidR="004A76C2" w:rsidRDefault="004A76C2" w:rsidP="00F164BF">
      <w:pPr>
        <w:rPr>
          <w:rFonts w:ascii="Noto Sans" w:hAnsi="Noto Sans" w:cs="Noto Sans"/>
          <w:color w:val="232323"/>
          <w:shd w:val="clear" w:color="auto" w:fill="FFFFFF"/>
        </w:rPr>
      </w:pPr>
      <w:r>
        <w:rPr>
          <w:rFonts w:ascii="Noto Sans" w:hAnsi="Noto Sans" w:cs="Noto Sans"/>
          <w:color w:val="232323"/>
          <w:shd w:val="clear" w:color="auto" w:fill="FFFFFF"/>
        </w:rPr>
        <w:t>Enteric phase: 45 sec (optional)</w:t>
      </w:r>
    </w:p>
    <w:p w14:paraId="314E727C" w14:textId="63882504" w:rsidR="004A76C2" w:rsidRDefault="004A76C2" w:rsidP="00F164BF">
      <w:pPr>
        <w:rPr>
          <w:rFonts w:ascii="Noto Sans" w:hAnsi="Noto Sans" w:cs="Noto Sans"/>
          <w:color w:val="232323"/>
          <w:shd w:val="clear" w:color="auto" w:fill="FFFFFF"/>
        </w:rPr>
      </w:pPr>
      <w:r>
        <w:rPr>
          <w:rFonts w:ascii="Noto Sans" w:hAnsi="Noto Sans" w:cs="Noto Sans"/>
          <w:color w:val="232323"/>
          <w:shd w:val="clear" w:color="auto" w:fill="FFFFFF"/>
        </w:rPr>
        <w:t>Poral venous: 60 sec (all cases)</w:t>
      </w:r>
    </w:p>
    <w:p w14:paraId="345444A1" w14:textId="6A2460DA" w:rsidR="004A76C2" w:rsidRDefault="004A76C2" w:rsidP="00F164BF">
      <w:proofErr w:type="spellStart"/>
      <w:r>
        <w:rPr>
          <w:rFonts w:ascii="Noto Sans" w:hAnsi="Noto Sans" w:cs="Noto Sans"/>
          <w:color w:val="232323"/>
          <w:shd w:val="clear" w:color="auto" w:fill="FFFFFF"/>
        </w:rPr>
        <w:t>Precontrast</w:t>
      </w:r>
      <w:proofErr w:type="spellEnd"/>
      <w:r>
        <w:rPr>
          <w:rFonts w:ascii="Noto Sans" w:hAnsi="Noto Sans" w:cs="Noto Sans"/>
          <w:color w:val="232323"/>
          <w:shd w:val="clear" w:color="auto" w:fill="FFFFFF"/>
        </w:rPr>
        <w:t>: Only if active bleeding suspected.</w:t>
      </w:r>
    </w:p>
    <w:sectPr w:rsidR="004A7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817D6"/>
    <w:multiLevelType w:val="multilevel"/>
    <w:tmpl w:val="4EB4DBE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59330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01C"/>
    <w:rsid w:val="000B66C9"/>
    <w:rsid w:val="00140EDA"/>
    <w:rsid w:val="00225B13"/>
    <w:rsid w:val="003712AC"/>
    <w:rsid w:val="004100ED"/>
    <w:rsid w:val="004A76C2"/>
    <w:rsid w:val="004E601C"/>
    <w:rsid w:val="00712BCA"/>
    <w:rsid w:val="00BB3E1F"/>
    <w:rsid w:val="00BE29CC"/>
    <w:rsid w:val="00CC6EDC"/>
    <w:rsid w:val="00CE31CB"/>
    <w:rsid w:val="00E82365"/>
    <w:rsid w:val="00EF6080"/>
    <w:rsid w:val="00F164BF"/>
    <w:rsid w:val="00F7488B"/>
    <w:rsid w:val="00F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B02D"/>
  <w15:chartTrackingRefBased/>
  <w15:docId w15:val="{45B5DE20-170C-4887-B32F-5E6E18FA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E601C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608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60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GAURAV, Gaurav (ISLE OF WIGHT NHS TRUST)</cp:lastModifiedBy>
  <cp:revision>6</cp:revision>
  <dcterms:created xsi:type="dcterms:W3CDTF">2023-11-09T09:49:00Z</dcterms:created>
  <dcterms:modified xsi:type="dcterms:W3CDTF">2023-12-07T14:23:00Z</dcterms:modified>
</cp:coreProperties>
</file>