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HELICOPTER CHARTER OPERATIONS</w:t>
      </w:r>
    </w:p>
    <w:p>
      <w:pPr>
        <w:spacing w:after="200"/>
      </w:pPr>
      <w:r>
        <w:rPr>
          <w:b/>
          <w:bCs/>
          <w:color w:val="2E74B5"/>
          <w:sz w:val="26"/>
          <w:szCs w:val="26"/>
        </w:rPr>
        <w:t xml:space="preserve">Passenger &amp; Ground Operations Compliance Guide</w:t>
      </w:r>
    </w:p>
    <w:p>
      <w:pPr>
        <w:spacing w:after="100"/>
      </w:pPr>
      <w:r>
        <w:rPr>
          <w:i/>
          <w:iCs/>
          <w:color w:val="595959"/>
          <w:sz w:val="20"/>
          <w:szCs w:val="20"/>
        </w:rPr>
        <w:t xml:space="preserve">Covers: Charter / Air-Taxi · Tourism &amp; Joy-Ride Flights · Corporate &amp; VIP Charter · Medical (HEMS) Transport</w:t>
      </w:r>
    </w:p>
    <w:p>
      <w:pPr>
        <w:spacing w:after="300"/>
      </w:pPr>
      <w:r>
        <w:rPr>
          <w:color w:val="595959"/>
          <w:sz w:val="19"/>
          <w:szCs w:val="19"/>
        </w:rPr>
        <w:t xml:space="preserve">Prepared for internal use by ground staff, cabin/flight crew, and passenger-facing teams. Applicable within the Indian regulatory framework (DGCA Civil Aviation Requirements).</w:t>
      </w:r>
    </w:p>
    <w:p>
      <w:pPr>
        <w:pBdr>
          <w:top w:val="single" w:color="BF9000" w:sz="4" w:space="4"/>
          <w:bottom w:val="single" w:color="BF9000" w:sz="4" w:space="4"/>
          <w:left w:val="single" w:color="BF9000" w:sz="4" w:space="4"/>
          <w:right w:val="single" w:color="BF9000" w:sz="4" w:space="4"/>
        </w:pBdr>
        <w:shd w:fill="FFF2CC" w:val="clear"/>
        <w:spacing w:after="200" w:before="80"/>
      </w:pPr>
      <w:r>
        <w:rPr>
          <w:i/>
          <w:iCs/>
          <w:color w:val="594100"/>
          <w:sz w:val="19"/>
          <w:szCs w:val="19"/>
        </w:rPr>
        <w:t xml:space="preserve">Note: This is a general compliance template built from publicly known DGCA (Directorate General of Civil Aviation, India) requirements and common industry SOPs for helicopter charter operations. It is a working checklist, not a substitute for your operator's approved Operations Manual (OM), AOC conditions, or a review by your Accountable Manager / compliance officer / aviation lawyer. Always verify current CARs (Civil Aviation Requirements) on the DGCA website before finalizing your own SOP, since specific limits (weight, baggage, documents) vary by aircraft type, route, and AOC.</w:t>
      </w:r>
    </w:p>
    <w:p>
      <w:pPr>
        <w:pStyle w:val="Heading1"/>
        <w:pBdr>
          <w:bottom w:val="single" w:color="2E74B5" w:sz="6" w:space="4"/>
        </w:pBdr>
        <w:spacing w:after="200" w:before="400"/>
      </w:pPr>
      <w:r>
        <w:rPr>
          <w:b/>
          <w:bCs/>
          <w:color w:val="1F3864"/>
          <w:sz w:val="30"/>
          <w:szCs w:val="30"/>
        </w:rPr>
        <w:t xml:space="preserve">1. Purpose &amp; Scope</w:t>
      </w:r>
    </w:p>
    <w:p>
      <w:pPr>
        <w:spacing w:after="140"/>
      </w:pPr>
      <w:r>
        <w:rPr>
          <w:color w:val="262626"/>
          <w:sz w:val="21"/>
          <w:szCs w:val="21"/>
        </w:rPr>
        <w:t xml:space="preserve">This document sets out the compliance particulars ground staff, cabin crew and passengers must follow across four categories of helicopter operation: scheduled/on-demand charter (air-taxi), tourism/joy-ride sightseeing flights, corporate &amp; VIP charter, and medical (HEMS) transport. It covers four areas requested for compliance:</w:t>
      </w:r>
    </w:p>
    <w:p>
      <w:pPr>
        <w:pStyle w:val="ListParagraph"/>
        <w:numPr>
          <w:ilvl w:val="0"/>
          <w:numId w:val="2"/>
        </w:numPr>
        <w:spacing w:after="60"/>
      </w:pPr>
      <w:r>
        <w:rPr>
          <w:color w:val="262626"/>
          <w:sz w:val="21"/>
          <w:szCs w:val="21"/>
        </w:rPr>
        <w:t xml:space="preserve">Passenger and crew documentation / items to carry</w:t>
      </w:r>
    </w:p>
    <w:p>
      <w:pPr>
        <w:pStyle w:val="ListParagraph"/>
        <w:numPr>
          <w:ilvl w:val="0"/>
          <w:numId w:val="2"/>
        </w:numPr>
        <w:spacing w:after="60"/>
      </w:pPr>
      <w:r>
        <w:rPr>
          <w:color w:val="262626"/>
          <w:sz w:val="21"/>
          <w:szCs w:val="21"/>
        </w:rPr>
        <w:t xml:space="preserve">Food, beverage and catering particulars permitted on board</w:t>
      </w:r>
    </w:p>
    <w:p>
      <w:pPr>
        <w:pStyle w:val="ListParagraph"/>
        <w:numPr>
          <w:ilvl w:val="0"/>
          <w:numId w:val="2"/>
        </w:numPr>
        <w:spacing w:after="60"/>
      </w:pPr>
      <w:r>
        <w:rPr>
          <w:color w:val="262626"/>
          <w:sz w:val="21"/>
          <w:szCs w:val="21"/>
        </w:rPr>
        <w:t xml:space="preserve">Procedures for landing site or destination changes while a flight is in progress (diversions)</w:t>
      </w:r>
    </w:p>
    <w:p>
      <w:pPr>
        <w:pStyle w:val="ListParagraph"/>
        <w:numPr>
          <w:ilvl w:val="0"/>
          <w:numId w:val="2"/>
        </w:numPr>
        <w:spacing w:after="60"/>
      </w:pPr>
      <w:r>
        <w:rPr>
          <w:color w:val="262626"/>
          <w:sz w:val="21"/>
          <w:szCs w:val="21"/>
        </w:rPr>
        <w:t xml:space="preserve">General operational and regulatory record-keeping particulars</w:t>
      </w:r>
    </w:p>
    <w:p>
      <w:pPr>
        <w:pStyle w:val="Heading1"/>
        <w:pBdr>
          <w:bottom w:val="single" w:color="2E74B5" w:sz="6" w:space="4"/>
        </w:pBdr>
        <w:spacing w:after="200" w:before="400"/>
      </w:pPr>
      <w:r>
        <w:rPr>
          <w:b/>
          <w:bCs/>
          <w:color w:val="1F3864"/>
          <w:sz w:val="30"/>
          <w:szCs w:val="30"/>
        </w:rPr>
        <w:t xml:space="preserve">2. Documents &amp; Items Passengers/Crew Must Carry</w:t>
      </w:r>
    </w:p>
    <w:p>
      <w:pPr>
        <w:pStyle w:val="Heading2"/>
        <w:spacing w:after="120" w:before="260"/>
      </w:pPr>
      <w:r>
        <w:rPr>
          <w:b/>
          <w:bCs/>
          <w:color w:val="2E74B5"/>
          <w:sz w:val="24"/>
          <w:szCs w:val="24"/>
        </w:rPr>
        <w:t xml:space="preserve">2.1 Mandatory passenger documents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900"/>
        <w:gridCol w:w="190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Item</w:t>
            </w:r>
          </w:p>
        </w:tc>
        <w:tc>
          <w:tcPr>
            <w:tcW w:type="dxa" w:w="4900"/>
            <w:shd w:fill="1F3864" w:val="clear"/>
            <w:tcMar>
              <w:top w:type="dxa" w:w="80"/>
              <w:left w:type="dxa" w:w="120"/>
              <w:bottom w:type="dxa" w:w="80"/>
              <w:right w:type="dxa" w:w="120"/>
            </w:tcMar>
          </w:tcPr>
          <w:p>
            <w:r>
              <w:rPr>
                <w:b/>
                <w:bCs/>
                <w:color w:val="FFFFFF"/>
                <w:sz w:val="20"/>
                <w:szCs w:val="20"/>
              </w:rPr>
              <w:t xml:space="preserve">Requirement</w:t>
            </w:r>
          </w:p>
        </w:tc>
        <w:tc>
          <w:tcPr>
            <w:tcW w:type="dxa" w:w="1900"/>
            <w:shd w:fill="1F3864" w:val="clear"/>
            <w:tcMar>
              <w:top w:type="dxa" w:w="80"/>
              <w:left w:type="dxa" w:w="120"/>
              <w:bottom w:type="dxa" w:w="80"/>
              <w:right w:type="dxa" w:w="120"/>
            </w:tcMar>
          </w:tcPr>
          <w:p>
            <w:r>
              <w:rPr>
                <w:b/>
                <w:bCs/>
                <w:color w:val="FFFFFF"/>
                <w:sz w:val="20"/>
                <w:szCs w:val="20"/>
              </w:rPr>
              <w:t xml:space="preserve">Applies to</w:t>
            </w:r>
          </w:p>
        </w:tc>
      </w:tr>
      <w:tr>
        <w:tc>
          <w:tcPr>
            <w:tcW w:type="dxa" w:w="3200"/>
            <w:tcMar>
              <w:top w:type="dxa" w:w="80"/>
              <w:left w:type="dxa" w:w="120"/>
              <w:bottom w:type="dxa" w:w="80"/>
              <w:right w:type="dxa" w:w="120"/>
            </w:tcMar>
          </w:tcPr>
          <w:p>
            <w:r>
              <w:rPr>
                <w:b w:val="false"/>
                <w:bCs w:val="false"/>
                <w:color w:val="262626"/>
                <w:sz w:val="20"/>
                <w:szCs w:val="20"/>
              </w:rPr>
              <w:t xml:space="preserve">Government photo ID</w:t>
            </w:r>
          </w:p>
        </w:tc>
        <w:tc>
          <w:tcPr>
            <w:tcW w:type="dxa" w:w="4900"/>
            <w:tcMar>
              <w:top w:type="dxa" w:w="80"/>
              <w:left w:type="dxa" w:w="120"/>
              <w:bottom w:type="dxa" w:w="80"/>
              <w:right w:type="dxa" w:w="120"/>
            </w:tcMar>
          </w:tcPr>
          <w:p>
            <w:r>
              <w:rPr>
                <w:b w:val="false"/>
                <w:bCs w:val="false"/>
                <w:color w:val="262626"/>
                <w:sz w:val="20"/>
                <w:szCs w:val="20"/>
              </w:rPr>
              <w:t xml:space="preserve">Original (not photocopy) — Aadhaar, Passport, Voter ID, Driving Licence, or PAN with photo. Must match the name on the manifest/ticket.</w:t>
            </w:r>
          </w:p>
        </w:tc>
        <w:tc>
          <w:tcPr>
            <w:tcW w:type="dxa" w:w="1900"/>
            <w:tcMar>
              <w:top w:type="dxa" w:w="80"/>
              <w:left w:type="dxa" w:w="120"/>
              <w:bottom w:type="dxa" w:w="80"/>
              <w:right w:type="dxa" w:w="120"/>
            </w:tcMar>
          </w:tcPr>
          <w:p>
            <w:r>
              <w:rPr>
                <w:b w:val="false"/>
                <w:bCs w:val="false"/>
                <w:color w:val="262626"/>
                <w:sz w:val="20"/>
                <w:szCs w:val="20"/>
              </w:rPr>
              <w:t xml:space="preserve">All flights</w:t>
            </w:r>
          </w:p>
        </w:tc>
      </w:tr>
      <w:tr>
        <w:tc>
          <w:tcPr>
            <w:tcW w:type="dxa" w:w="3200"/>
            <w:tcMar>
              <w:top w:type="dxa" w:w="80"/>
              <w:left w:type="dxa" w:w="120"/>
              <w:bottom w:type="dxa" w:w="80"/>
              <w:right w:type="dxa" w:w="120"/>
            </w:tcMar>
          </w:tcPr>
          <w:p>
            <w:r>
              <w:rPr>
                <w:b w:val="false"/>
                <w:bCs w:val="false"/>
                <w:color w:val="262626"/>
                <w:sz w:val="20"/>
                <w:szCs w:val="20"/>
              </w:rPr>
              <w:t xml:space="preserve">Passport &amp; visa</w:t>
            </w:r>
          </w:p>
        </w:tc>
        <w:tc>
          <w:tcPr>
            <w:tcW w:type="dxa" w:w="4900"/>
            <w:tcMar>
              <w:top w:type="dxa" w:w="80"/>
              <w:left w:type="dxa" w:w="120"/>
              <w:bottom w:type="dxa" w:w="80"/>
              <w:right w:type="dxa" w:w="120"/>
            </w:tcMar>
          </w:tcPr>
          <w:p>
            <w:r>
              <w:rPr>
                <w:b w:val="false"/>
                <w:bCs w:val="false"/>
                <w:color w:val="262626"/>
                <w:sz w:val="20"/>
                <w:szCs w:val="20"/>
              </w:rPr>
              <w:t xml:space="preserve">Mandatory for foreign nationals; carry original passport, not a copy.</w:t>
            </w:r>
          </w:p>
        </w:tc>
        <w:tc>
          <w:tcPr>
            <w:tcW w:type="dxa" w:w="1900"/>
            <w:tcMar>
              <w:top w:type="dxa" w:w="80"/>
              <w:left w:type="dxa" w:w="120"/>
              <w:bottom w:type="dxa" w:w="80"/>
              <w:right w:type="dxa" w:w="120"/>
            </w:tcMar>
          </w:tcPr>
          <w:p>
            <w:r>
              <w:rPr>
                <w:b w:val="false"/>
                <w:bCs w:val="false"/>
                <w:color w:val="262626"/>
                <w:sz w:val="20"/>
                <w:szCs w:val="20"/>
              </w:rPr>
              <w:t xml:space="preserve">All flights, foreign pax</w:t>
            </w:r>
          </w:p>
        </w:tc>
      </w:tr>
      <w:tr>
        <w:tc>
          <w:tcPr>
            <w:tcW w:type="dxa" w:w="3200"/>
            <w:tcMar>
              <w:top w:type="dxa" w:w="80"/>
              <w:left w:type="dxa" w:w="120"/>
              <w:bottom w:type="dxa" w:w="80"/>
              <w:right w:type="dxa" w:w="120"/>
            </w:tcMar>
          </w:tcPr>
          <w:p>
            <w:r>
              <w:rPr>
                <w:b w:val="false"/>
                <w:bCs w:val="false"/>
                <w:color w:val="262626"/>
                <w:sz w:val="20"/>
                <w:szCs w:val="20"/>
              </w:rPr>
              <w:t xml:space="preserve">Booking confirmation / e-ticket</w:t>
            </w:r>
          </w:p>
        </w:tc>
        <w:tc>
          <w:tcPr>
            <w:tcW w:type="dxa" w:w="4900"/>
            <w:tcMar>
              <w:top w:type="dxa" w:w="80"/>
              <w:left w:type="dxa" w:w="120"/>
              <w:bottom w:type="dxa" w:w="80"/>
              <w:right w:type="dxa" w:w="120"/>
            </w:tcMar>
          </w:tcPr>
          <w:p>
            <w:r>
              <w:rPr>
                <w:b w:val="false"/>
                <w:bCs w:val="false"/>
                <w:color w:val="262626"/>
                <w:sz w:val="20"/>
                <w:szCs w:val="20"/>
              </w:rPr>
              <w:t xml:space="preserve">Printed or digital copy with PNR, passenger name, flight sector, weight declared at booking.</w:t>
            </w:r>
          </w:p>
        </w:tc>
        <w:tc>
          <w:tcPr>
            <w:tcW w:type="dxa" w:w="1900"/>
            <w:tcMar>
              <w:top w:type="dxa" w:w="80"/>
              <w:left w:type="dxa" w:w="120"/>
              <w:bottom w:type="dxa" w:w="80"/>
              <w:right w:type="dxa" w:w="120"/>
            </w:tcMar>
          </w:tcPr>
          <w:p>
            <w:r>
              <w:rPr>
                <w:b w:val="false"/>
                <w:bCs w:val="false"/>
                <w:color w:val="262626"/>
                <w:sz w:val="20"/>
                <w:szCs w:val="20"/>
              </w:rPr>
              <w:t xml:space="preserve">All flights</w:t>
            </w:r>
          </w:p>
        </w:tc>
      </w:tr>
      <w:tr>
        <w:tc>
          <w:tcPr>
            <w:tcW w:type="dxa" w:w="3200"/>
            <w:tcMar>
              <w:top w:type="dxa" w:w="80"/>
              <w:left w:type="dxa" w:w="120"/>
              <w:bottom w:type="dxa" w:w="80"/>
              <w:right w:type="dxa" w:w="120"/>
            </w:tcMar>
          </w:tcPr>
          <w:p>
            <w:r>
              <w:rPr>
                <w:b w:val="false"/>
                <w:bCs w:val="false"/>
                <w:color w:val="262626"/>
                <w:sz w:val="20"/>
                <w:szCs w:val="20"/>
              </w:rPr>
              <w:t xml:space="preserve">Weight declaration slip</w:t>
            </w:r>
          </w:p>
        </w:tc>
        <w:tc>
          <w:tcPr>
            <w:tcW w:type="dxa" w:w="4900"/>
            <w:tcMar>
              <w:top w:type="dxa" w:w="80"/>
              <w:left w:type="dxa" w:w="120"/>
              <w:bottom w:type="dxa" w:w="80"/>
              <w:right w:type="dxa" w:w="120"/>
            </w:tcMar>
          </w:tcPr>
          <w:p>
            <w:r>
              <w:rPr>
                <w:b w:val="false"/>
                <w:bCs w:val="false"/>
                <w:color w:val="262626"/>
                <w:sz w:val="20"/>
                <w:szCs w:val="20"/>
              </w:rPr>
              <w:t xml:space="preserve">Signed self-declaration of body weight + hand baggage weight, taken at check-in for weight &amp; balance.</w:t>
            </w:r>
          </w:p>
        </w:tc>
        <w:tc>
          <w:tcPr>
            <w:tcW w:type="dxa" w:w="1900"/>
            <w:tcMar>
              <w:top w:type="dxa" w:w="80"/>
              <w:left w:type="dxa" w:w="120"/>
              <w:bottom w:type="dxa" w:w="80"/>
              <w:right w:type="dxa" w:w="120"/>
            </w:tcMar>
          </w:tcPr>
          <w:p>
            <w:r>
              <w:rPr>
                <w:b w:val="false"/>
                <w:bCs w:val="false"/>
                <w:color w:val="262626"/>
                <w:sz w:val="20"/>
                <w:szCs w:val="20"/>
              </w:rPr>
              <w:t xml:space="preserve">All flights (mandatory — helicopters are payload-critical)</w:t>
            </w:r>
          </w:p>
        </w:tc>
      </w:tr>
      <w:tr>
        <w:tc>
          <w:tcPr>
            <w:tcW w:type="dxa" w:w="3200"/>
            <w:tcMar>
              <w:top w:type="dxa" w:w="80"/>
              <w:left w:type="dxa" w:w="120"/>
              <w:bottom w:type="dxa" w:w="80"/>
              <w:right w:type="dxa" w:w="120"/>
            </w:tcMar>
          </w:tcPr>
          <w:p>
            <w:r>
              <w:rPr>
                <w:b w:val="false"/>
                <w:bCs w:val="false"/>
                <w:color w:val="262626"/>
                <w:sz w:val="20"/>
                <w:szCs w:val="20"/>
              </w:rPr>
              <w:t xml:space="preserve">Medical fitness certificate</w:t>
            </w:r>
          </w:p>
        </w:tc>
        <w:tc>
          <w:tcPr>
            <w:tcW w:type="dxa" w:w="4900"/>
            <w:tcMar>
              <w:top w:type="dxa" w:w="80"/>
              <w:left w:type="dxa" w:w="120"/>
              <w:bottom w:type="dxa" w:w="80"/>
              <w:right w:type="dxa" w:w="120"/>
            </w:tcMar>
          </w:tcPr>
          <w:p>
            <w:r>
              <w:rPr>
                <w:b w:val="false"/>
                <w:bCs w:val="false"/>
                <w:color w:val="262626"/>
                <w:sz w:val="20"/>
                <w:szCs w:val="20"/>
              </w:rPr>
              <w:t xml:space="preserve">Only if the passenger has disclosed a medical condition, is pregnant beyond the airline's permitted week, or is an HEMS patient — per treating physician's note.</w:t>
            </w:r>
          </w:p>
        </w:tc>
        <w:tc>
          <w:tcPr>
            <w:tcW w:type="dxa" w:w="1900"/>
            <w:tcMar>
              <w:top w:type="dxa" w:w="80"/>
              <w:left w:type="dxa" w:w="120"/>
              <w:bottom w:type="dxa" w:w="80"/>
              <w:right w:type="dxa" w:w="120"/>
            </w:tcMar>
          </w:tcPr>
          <w:p>
            <w:r>
              <w:rPr>
                <w:b w:val="false"/>
                <w:bCs w:val="false"/>
                <w:color w:val="262626"/>
                <w:sz w:val="20"/>
                <w:szCs w:val="20"/>
              </w:rPr>
              <w:t xml:space="preserve">HEMS / any flagged medical case</w:t>
            </w:r>
          </w:p>
        </w:tc>
      </w:tr>
      <w:tr>
        <w:tc>
          <w:tcPr>
            <w:tcW w:type="dxa" w:w="3200"/>
            <w:tcMar>
              <w:top w:type="dxa" w:w="80"/>
              <w:left w:type="dxa" w:w="120"/>
              <w:bottom w:type="dxa" w:w="80"/>
              <w:right w:type="dxa" w:w="120"/>
            </w:tcMar>
          </w:tcPr>
          <w:p>
            <w:r>
              <w:rPr>
                <w:b w:val="false"/>
                <w:bCs w:val="false"/>
                <w:color w:val="262626"/>
                <w:sz w:val="20"/>
                <w:szCs w:val="20"/>
              </w:rPr>
              <w:t xml:space="preserve">Guardian consent / accompanying adult</w:t>
            </w:r>
          </w:p>
        </w:tc>
        <w:tc>
          <w:tcPr>
            <w:tcW w:type="dxa" w:w="4900"/>
            <w:tcMar>
              <w:top w:type="dxa" w:w="80"/>
              <w:left w:type="dxa" w:w="120"/>
              <w:bottom w:type="dxa" w:w="80"/>
              <w:right w:type="dxa" w:w="120"/>
            </w:tcMar>
          </w:tcPr>
          <w:p>
            <w:r>
              <w:rPr>
                <w:b w:val="false"/>
                <w:bCs w:val="false"/>
                <w:color w:val="262626"/>
                <w:sz w:val="20"/>
                <w:szCs w:val="20"/>
              </w:rPr>
              <w:t xml:space="preserve">Required for unaccompanied minors, as per operator policy.</w:t>
            </w:r>
          </w:p>
        </w:tc>
        <w:tc>
          <w:tcPr>
            <w:tcW w:type="dxa" w:w="1900"/>
            <w:tcMar>
              <w:top w:type="dxa" w:w="80"/>
              <w:left w:type="dxa" w:w="120"/>
              <w:bottom w:type="dxa" w:w="80"/>
              <w:right w:type="dxa" w:w="120"/>
            </w:tcMar>
          </w:tcPr>
          <w:p>
            <w:r>
              <w:rPr>
                <w:b w:val="false"/>
                <w:bCs w:val="false"/>
                <w:color w:val="262626"/>
                <w:sz w:val="20"/>
                <w:szCs w:val="20"/>
              </w:rPr>
              <w:t xml:space="preserve">Minors travelling alone</w:t>
            </w:r>
          </w:p>
        </w:tc>
      </w:tr>
      <w:tr>
        <w:tc>
          <w:tcPr>
            <w:tcW w:type="dxa" w:w="3200"/>
            <w:tcMar>
              <w:top w:type="dxa" w:w="80"/>
              <w:left w:type="dxa" w:w="120"/>
              <w:bottom w:type="dxa" w:w="80"/>
              <w:right w:type="dxa" w:w="120"/>
            </w:tcMar>
          </w:tcPr>
          <w:p>
            <w:r>
              <w:rPr>
                <w:b w:val="false"/>
                <w:bCs w:val="false"/>
                <w:color w:val="262626"/>
                <w:sz w:val="20"/>
                <w:szCs w:val="20"/>
              </w:rPr>
              <w:t xml:space="preserve">Next-of-kin / emergency contact form</w:t>
            </w:r>
          </w:p>
        </w:tc>
        <w:tc>
          <w:tcPr>
            <w:tcW w:type="dxa" w:w="4900"/>
            <w:tcMar>
              <w:top w:type="dxa" w:w="80"/>
              <w:left w:type="dxa" w:w="120"/>
              <w:bottom w:type="dxa" w:w="80"/>
              <w:right w:type="dxa" w:w="120"/>
            </w:tcMar>
          </w:tcPr>
          <w:p>
            <w:r>
              <w:rPr>
                <w:b w:val="false"/>
                <w:bCs w:val="false"/>
                <w:color w:val="262626"/>
                <w:sz w:val="20"/>
                <w:szCs w:val="20"/>
              </w:rPr>
              <w:t xml:space="preserve">Name, relation, phone number recorded at check-in.</w:t>
            </w:r>
          </w:p>
        </w:tc>
        <w:tc>
          <w:tcPr>
            <w:tcW w:type="dxa" w:w="1900"/>
            <w:tcMar>
              <w:top w:type="dxa" w:w="80"/>
              <w:left w:type="dxa" w:w="120"/>
              <w:bottom w:type="dxa" w:w="80"/>
              <w:right w:type="dxa" w:w="120"/>
            </w:tcMar>
          </w:tcPr>
          <w:p>
            <w:r>
              <w:rPr>
                <w:b w:val="false"/>
                <w:bCs w:val="false"/>
                <w:color w:val="262626"/>
                <w:sz w:val="20"/>
                <w:szCs w:val="20"/>
              </w:rPr>
              <w:t xml:space="preserve">All flights</w:t>
            </w:r>
          </w:p>
        </w:tc>
      </w:tr>
    </w:tbl>
    <w:p>
      <w:pPr>
        <w:pStyle w:val="Heading2"/>
        <w:spacing w:after="120" w:before="260"/>
      </w:pPr>
      <w:r>
        <w:rPr>
          <w:b/>
          <w:bCs/>
          <w:color w:val="2E74B5"/>
          <w:sz w:val="24"/>
          <w:szCs w:val="24"/>
        </w:rPr>
        <w:t xml:space="preserve">2.2 Baggage — permitted vs. restricted</w:t>
      </w:r>
    </w:p>
    <w:p>
      <w:pPr>
        <w:spacing w:after="140"/>
      </w:pPr>
      <w:r>
        <w:rPr>
          <w:color w:val="262626"/>
          <w:sz w:val="21"/>
          <w:szCs w:val="21"/>
        </w:rPr>
        <w:t xml:space="preserve">Helicopters are far more weight- and space-constrained than fixed-wing aircraft, so baggage rules are stricter and enforced at check-in with a physical weigh-in.</w:t>
      </w:r>
    </w:p>
    <w:p>
      <w:pPr>
        <w:pStyle w:val="ListParagraph"/>
        <w:numPr>
          <w:ilvl w:val="0"/>
          <w:numId w:val="2"/>
        </w:numPr>
        <w:spacing w:after="60"/>
      </w:pPr>
      <w:r>
        <w:rPr>
          <w:color w:val="262626"/>
          <w:sz w:val="21"/>
          <w:szCs w:val="21"/>
        </w:rPr>
        <w:t xml:space="preserve">Typical allowance: 5–10 kg soft-sided hand baggage per passenger (confirm the exact figure against your aircraft's approved weight &amp; balance for the day — payload varies with fuel load, pax count and weather).</w:t>
      </w:r>
    </w:p>
    <w:p>
      <w:pPr>
        <w:pStyle w:val="ListParagraph"/>
        <w:numPr>
          <w:ilvl w:val="0"/>
          <w:numId w:val="2"/>
        </w:numPr>
        <w:spacing w:after="60"/>
      </w:pPr>
      <w:r>
        <w:rPr>
          <w:color w:val="262626"/>
          <w:sz w:val="21"/>
          <w:szCs w:val="21"/>
        </w:rPr>
        <w:t xml:space="preserve">Soft/collapsible bags are preferred over rigid suitcases due to limited baggage compartment volume.</w:t>
      </w:r>
    </w:p>
    <w:p>
      <w:pPr>
        <w:pStyle w:val="ListParagraph"/>
        <w:numPr>
          <w:ilvl w:val="0"/>
          <w:numId w:val="2"/>
        </w:numPr>
        <w:spacing w:after="60"/>
      </w:pPr>
      <w:r>
        <w:rPr>
          <w:color w:val="262626"/>
          <w:sz w:val="21"/>
          <w:szCs w:val="21"/>
        </w:rPr>
        <w:t xml:space="preserve">No hold baggage on most single/twin-engine charter types — hand baggage only, unless the operator has confirmed a baggage pod/compartment.</w:t>
      </w:r>
    </w:p>
    <w:p>
      <w:pPr>
        <w:pStyle w:val="ListParagraph"/>
        <w:numPr>
          <w:ilvl w:val="0"/>
          <w:numId w:val="2"/>
        </w:numPr>
        <w:spacing w:after="60"/>
      </w:pPr>
      <w:r>
        <w:rPr>
          <w:color w:val="262626"/>
          <w:sz w:val="21"/>
          <w:szCs w:val="21"/>
        </w:rPr>
        <w:t xml:space="preserve">Sharp objects, tools, and any item on the DGCA/BCAS prohibited-items list (as applicable to the departure point, especially if departing from a regulated airport) are not permitted in cabin baggage.</w:t>
      </w:r>
    </w:p>
    <w:p>
      <w:pPr>
        <w:pStyle w:val="ListParagraph"/>
        <w:numPr>
          <w:ilvl w:val="0"/>
          <w:numId w:val="2"/>
        </w:numPr>
        <w:spacing w:after="60"/>
      </w:pPr>
      <w:r>
        <w:rPr>
          <w:color w:val="262626"/>
          <w:sz w:val="21"/>
          <w:szCs w:val="21"/>
        </w:rPr>
        <w:t xml:space="preserve">Lithium battery devices (phones, cameras, laptops) are carried in cabin baggage only, not in any hold compartment, per standard dangerous-goods handling.</w:t>
      </w:r>
    </w:p>
    <w:p>
      <w:pPr>
        <w:pStyle w:val="ListParagraph"/>
        <w:numPr>
          <w:ilvl w:val="0"/>
          <w:numId w:val="2"/>
        </w:numPr>
        <w:spacing w:after="60"/>
      </w:pPr>
      <w:r>
        <w:rPr>
          <w:color w:val="262626"/>
          <w:sz w:val="21"/>
          <w:szCs w:val="21"/>
        </w:rPr>
        <w:t xml:space="preserve">Dangerous Goods (DG) — flammables, aerosols beyond permitted quantity, compressed gases, corrosives, oxidizers, explosives, and matches/lighters beyond one per person — are prohibited unless specifically cleared under DGR (Dangerous Goods Regulations) exemption for medical equipment on HEMS flights.</w:t>
      </w:r>
    </w:p>
    <w:p>
      <w:pPr>
        <w:pStyle w:val="ListParagraph"/>
        <w:numPr>
          <w:ilvl w:val="0"/>
          <w:numId w:val="2"/>
        </w:numPr>
        <w:spacing w:after="60"/>
      </w:pPr>
      <w:r>
        <w:rPr>
          <w:color w:val="262626"/>
          <w:sz w:val="21"/>
          <w:szCs w:val="21"/>
        </w:rPr>
        <w:t xml:space="preserve">Sporting equipment, drones, and large camera rigs (common on tourism flights) must be pre-declared for weight and stowage approval — not accepted at the gate without prior clearance.</w:t>
      </w:r>
    </w:p>
    <w:p>
      <w:pPr>
        <w:pBdr>
          <w:top w:val="single" w:color="BF9000" w:sz="4" w:space="4"/>
          <w:bottom w:val="single" w:color="BF9000" w:sz="4" w:space="4"/>
          <w:left w:val="single" w:color="BF9000" w:sz="4" w:space="4"/>
          <w:right w:val="single" w:color="BF9000" w:sz="4" w:space="4"/>
        </w:pBdr>
        <w:shd w:fill="FFF2CC" w:val="clear"/>
        <w:spacing w:after="200" w:before="80"/>
      </w:pPr>
      <w:r>
        <w:rPr>
          <w:i/>
          <w:iCs/>
          <w:color w:val="594100"/>
          <w:sz w:val="19"/>
          <w:szCs w:val="19"/>
        </w:rPr>
        <w:t xml:space="preserve">Note: For HEMS flights carrying medical oxygen cylinders, defibrillators, or other powered medical devices, DG clearance and crew briefing are mandatory before boarding — treat these as regulated cargo, not passenger baggage.</w:t>
      </w:r>
    </w:p>
    <w:p>
      <w:pPr>
        <w:pStyle w:val="Heading2"/>
        <w:spacing w:after="120" w:before="260"/>
      </w:pPr>
      <w:r>
        <w:rPr>
          <w:b/>
          <w:bCs/>
          <w:color w:val="2E74B5"/>
          <w:sz w:val="24"/>
          <w:szCs w:val="24"/>
        </w:rPr>
        <w:t xml:space="preserve">2.3 Crew carry items</w:t>
      </w:r>
    </w:p>
    <w:p>
      <w:pPr>
        <w:pStyle w:val="ListParagraph"/>
        <w:numPr>
          <w:ilvl w:val="0"/>
          <w:numId w:val="2"/>
        </w:numPr>
        <w:spacing w:after="60"/>
      </w:pPr>
      <w:r>
        <w:rPr>
          <w:color w:val="262626"/>
          <w:sz w:val="21"/>
          <w:szCs w:val="21"/>
        </w:rPr>
        <w:t xml:space="preserve">Valid Air Crew licence / medical certificate (Pilot), or applicable ID (Cabin/Ground crew).</w:t>
      </w:r>
    </w:p>
    <w:p>
      <w:pPr>
        <w:pStyle w:val="ListParagraph"/>
        <w:numPr>
          <w:ilvl w:val="0"/>
          <w:numId w:val="2"/>
        </w:numPr>
        <w:spacing w:after="60"/>
      </w:pPr>
      <w:r>
        <w:rPr>
          <w:color w:val="262626"/>
          <w:sz w:val="21"/>
          <w:szCs w:val="21"/>
        </w:rPr>
        <w:t xml:space="preserve">Company ID card</w:t>
      </w:r>
    </w:p>
    <w:p>
      <w:pPr>
        <w:pStyle w:val="ListParagraph"/>
        <w:numPr>
          <w:ilvl w:val="0"/>
          <w:numId w:val="2"/>
        </w:numPr>
        <w:spacing w:after="60"/>
      </w:pPr>
      <w:r>
        <w:rPr>
          <w:color w:val="262626"/>
          <w:sz w:val="21"/>
          <w:szCs w:val="21"/>
        </w:rPr>
        <w:t xml:space="preserve">Flight release / journey log, load sheet, and weight &amp; balance sheet for the sector</w:t>
      </w:r>
    </w:p>
    <w:p>
      <w:pPr>
        <w:pStyle w:val="ListParagraph"/>
        <w:numPr>
          <w:ilvl w:val="0"/>
          <w:numId w:val="2"/>
        </w:numPr>
        <w:spacing w:after="60"/>
      </w:pPr>
      <w:r>
        <w:rPr>
          <w:color w:val="262626"/>
          <w:sz w:val="21"/>
          <w:szCs w:val="21"/>
        </w:rPr>
        <w:t xml:space="preserve">NOTAM and weather briefing printout/acknowledgement for the route</w:t>
      </w:r>
    </w:p>
    <w:p>
      <w:pPr>
        <w:pStyle w:val="ListParagraph"/>
        <w:numPr>
          <w:ilvl w:val="0"/>
          <w:numId w:val="2"/>
        </w:numPr>
        <w:spacing w:after="60"/>
      </w:pPr>
      <w:r>
        <w:rPr>
          <w:color w:val="262626"/>
          <w:sz w:val="21"/>
          <w:szCs w:val="21"/>
        </w:rPr>
        <w:t xml:space="preserve">Passenger manifest (final, signed) and cargo/baggage manifest</w:t>
      </w:r>
    </w:p>
    <w:p>
      <w:pPr>
        <w:pStyle w:val="ListParagraph"/>
        <w:numPr>
          <w:ilvl w:val="0"/>
          <w:numId w:val="2"/>
        </w:numPr>
        <w:spacing w:after="60"/>
      </w:pPr>
      <w:r>
        <w:rPr>
          <w:color w:val="262626"/>
          <w:sz w:val="21"/>
          <w:szCs w:val="21"/>
        </w:rPr>
        <w:t xml:space="preserve">Emergency checklist, first-aid kit, and survival kit as applicable to the route (overwater, remote terrain)</w:t>
      </w:r>
    </w:p>
    <w:p>
      <w:pPr>
        <w:pStyle w:val="Heading1"/>
        <w:pBdr>
          <w:bottom w:val="single" w:color="2E74B5" w:sz="6" w:space="4"/>
        </w:pBdr>
        <w:spacing w:after="200" w:before="400"/>
      </w:pPr>
      <w:r>
        <w:rPr>
          <w:b/>
          <w:bCs/>
          <w:color w:val="1F3864"/>
          <w:sz w:val="30"/>
          <w:szCs w:val="30"/>
        </w:rPr>
        <w:t xml:space="preserve">3. Food, Beverage &amp; Catering Particulars</w:t>
      </w:r>
    </w:p>
    <w:p>
      <w:pPr>
        <w:pStyle w:val="Heading2"/>
        <w:spacing w:after="120" w:before="260"/>
      </w:pPr>
      <w:r>
        <w:rPr>
          <w:b/>
          <w:bCs/>
          <w:color w:val="2E74B5"/>
          <w:sz w:val="24"/>
          <w:szCs w:val="24"/>
        </w:rPr>
        <w:t xml:space="preserve">3.1 What can be carried / served on board</w:t>
      </w:r>
    </w:p>
    <w:p>
      <w:pPr>
        <w:pStyle w:val="ListParagraph"/>
        <w:numPr>
          <w:ilvl w:val="0"/>
          <w:numId w:val="2"/>
        </w:numPr>
        <w:spacing w:after="60"/>
      </w:pPr>
      <w:r>
        <w:rPr>
          <w:color w:val="262626"/>
          <w:sz w:val="21"/>
          <w:szCs w:val="21"/>
        </w:rPr>
        <w:t xml:space="preserve">Sealed, pre-packaged snacks and beverages only — no open food preparation on board.</w:t>
      </w:r>
    </w:p>
    <w:p>
      <w:pPr>
        <w:pStyle w:val="ListParagraph"/>
        <w:numPr>
          <w:ilvl w:val="0"/>
          <w:numId w:val="2"/>
        </w:numPr>
        <w:spacing w:after="60"/>
      </w:pPr>
      <w:r>
        <w:rPr>
          <w:color w:val="262626"/>
          <w:sz w:val="21"/>
          <w:szCs w:val="21"/>
        </w:rPr>
        <w:t xml:space="preserve">Liquids in cabin should be in leak-proof, capped containers; avoid glass containers due to turbulence/vibration risk — use plastic or metal only.</w:t>
      </w:r>
    </w:p>
    <w:p>
      <w:pPr>
        <w:pStyle w:val="ListParagraph"/>
        <w:numPr>
          <w:ilvl w:val="0"/>
          <w:numId w:val="2"/>
        </w:numPr>
        <w:spacing w:after="60"/>
      </w:pPr>
      <w:r>
        <w:rPr>
          <w:color w:val="262626"/>
          <w:sz w:val="21"/>
          <w:szCs w:val="21"/>
        </w:rPr>
        <w:t xml:space="preserve">Standard tourism/corporate charter catering: bottled water, juice, light snacks/refreshments — kept light in both quantity and weight given payload limits.</w:t>
      </w:r>
    </w:p>
    <w:p>
      <w:pPr>
        <w:pStyle w:val="ListParagraph"/>
        <w:numPr>
          <w:ilvl w:val="0"/>
          <w:numId w:val="2"/>
        </w:numPr>
        <w:spacing w:after="60"/>
      </w:pPr>
      <w:r>
        <w:rPr>
          <w:color w:val="262626"/>
          <w:sz w:val="21"/>
          <w:szCs w:val="21"/>
        </w:rPr>
        <w:t xml:space="preserve">Alcoholic beverages are generally not served in flight; if permitted by the operator for VIP/corporate charters, service is only on the ground (pre/post-flight), never airborne, and never to the flight crew.</w:t>
      </w:r>
    </w:p>
    <w:p>
      <w:pPr>
        <w:pStyle w:val="ListParagraph"/>
        <w:numPr>
          <w:ilvl w:val="0"/>
          <w:numId w:val="2"/>
        </w:numPr>
        <w:spacing w:after="60"/>
      </w:pPr>
      <w:r>
        <w:rPr>
          <w:color w:val="262626"/>
          <w:sz w:val="21"/>
          <w:szCs w:val="21"/>
        </w:rPr>
        <w:t xml:space="preserve">Passengers may carry a small personal snack/water bottle, but it must be declared at the weight check-in like any other item.</w:t>
      </w:r>
    </w:p>
    <w:p>
      <w:pPr>
        <w:pStyle w:val="Heading2"/>
        <w:spacing w:after="120" w:before="260"/>
      </w:pPr>
      <w:r>
        <w:rPr>
          <w:b/>
          <w:bCs/>
          <w:color w:val="2E74B5"/>
          <w:sz w:val="24"/>
          <w:szCs w:val="24"/>
        </w:rPr>
        <w:t xml:space="preserve">3.2 What is restricted</w:t>
      </w:r>
    </w:p>
    <w:p>
      <w:pPr>
        <w:pStyle w:val="ListParagraph"/>
        <w:numPr>
          <w:ilvl w:val="0"/>
          <w:numId w:val="2"/>
        </w:numPr>
        <w:spacing w:after="60"/>
      </w:pPr>
      <w:r>
        <w:rPr>
          <w:color w:val="262626"/>
          <w:sz w:val="21"/>
          <w:szCs w:val="21"/>
        </w:rPr>
        <w:t xml:space="preserve">No hot/flame-based food warming equipment on board.</w:t>
      </w:r>
    </w:p>
    <w:p>
      <w:pPr>
        <w:pStyle w:val="ListParagraph"/>
        <w:numPr>
          <w:ilvl w:val="0"/>
          <w:numId w:val="2"/>
        </w:numPr>
        <w:spacing w:after="60"/>
      </w:pPr>
      <w:r>
        <w:rPr>
          <w:color w:val="262626"/>
          <w:sz w:val="21"/>
          <w:szCs w:val="21"/>
        </w:rPr>
        <w:t xml:space="preserve">No strongly aromatic or spillable foods that could distract the crew or damage instruments/upholstery.</w:t>
      </w:r>
    </w:p>
    <w:p>
      <w:pPr>
        <w:pStyle w:val="ListParagraph"/>
        <w:numPr>
          <w:ilvl w:val="0"/>
          <w:numId w:val="2"/>
        </w:numPr>
        <w:spacing w:after="60"/>
      </w:pPr>
      <w:r>
        <w:rPr>
          <w:color w:val="262626"/>
          <w:sz w:val="21"/>
          <w:szCs w:val="21"/>
        </w:rPr>
        <w:t xml:space="preserve">No catering trolleys/rigid crockery — everything must be disposable/lightweight.</w:t>
      </w:r>
    </w:p>
    <w:p>
      <w:pPr>
        <w:pStyle w:val="ListParagraph"/>
        <w:numPr>
          <w:ilvl w:val="0"/>
          <w:numId w:val="2"/>
        </w:numPr>
        <w:spacing w:after="60"/>
      </w:pPr>
      <w:r>
        <w:rPr>
          <w:color w:val="262626"/>
          <w:sz w:val="21"/>
          <w:szCs w:val="21"/>
        </w:rPr>
        <w:t xml:space="preserve">For HEMS flights, no food/beverage service to the patient unless cleared by the attending medical crew.</w:t>
      </w:r>
    </w:p>
    <w:p>
      <w:pPr>
        <w:pBdr>
          <w:top w:val="single" w:color="BF9000" w:sz="4" w:space="4"/>
          <w:bottom w:val="single" w:color="BF9000" w:sz="4" w:space="4"/>
          <w:left w:val="single" w:color="BF9000" w:sz="4" w:space="4"/>
          <w:right w:val="single" w:color="BF9000" w:sz="4" w:space="4"/>
        </w:pBdr>
        <w:shd w:fill="FFF2CC" w:val="clear"/>
        <w:spacing w:after="200" w:before="80"/>
      </w:pPr>
      <w:r>
        <w:rPr>
          <w:i/>
          <w:iCs/>
          <w:color w:val="594100"/>
          <w:sz w:val="19"/>
          <w:szCs w:val="19"/>
        </w:rPr>
        <w:t xml:space="preserve">Note: Weight of catering items must be included in the load sheet — even small quantities matter on a payload-critical aircraft, especially at high density altitude or on hot days.</w:t>
      </w:r>
    </w:p>
    <w:p>
      <w:pPr>
        <w:pStyle w:val="Heading1"/>
        <w:pBdr>
          <w:bottom w:val="single" w:color="2E74B5" w:sz="6" w:space="4"/>
        </w:pBdr>
        <w:spacing w:after="200" w:before="400"/>
      </w:pPr>
      <w:r>
        <w:rPr>
          <w:b/>
          <w:bCs/>
          <w:color w:val="1F3864"/>
          <w:sz w:val="30"/>
          <w:szCs w:val="30"/>
        </w:rPr>
        <w:t xml:space="preserve">4. In-Flight Destination Change / Diversion Procedures</w:t>
      </w:r>
    </w:p>
    <w:p>
      <w:pPr>
        <w:spacing w:after="140"/>
      </w:pPr>
      <w:r>
        <w:rPr>
          <w:color w:val="262626"/>
          <w:sz w:val="21"/>
          <w:szCs w:val="21"/>
        </w:rPr>
        <w:t xml:space="preserve">A 'destination change while ongoing' (in-flight diversion) can be planned (weather, VIP request, ATC instruction) or unplanned (technical, medical emergency, security). The compliance steps differ slightly by trigger but follow the same reporting chain.</w:t>
      </w:r>
    </w:p>
    <w:p>
      <w:pPr>
        <w:pStyle w:val="Heading2"/>
        <w:spacing w:after="120" w:before="260"/>
      </w:pPr>
      <w:r>
        <w:rPr>
          <w:b/>
          <w:bCs/>
          <w:color w:val="2E74B5"/>
          <w:sz w:val="24"/>
          <w:szCs w:val="24"/>
        </w:rPr>
        <w:t xml:space="preserve">4.1 Pilot-in-command (PIC) actions</w:t>
      </w:r>
    </w:p>
    <w:p>
      <w:pPr>
        <w:pStyle w:val="ListParagraph"/>
        <w:numPr>
          <w:ilvl w:val="0"/>
          <w:numId w:val="2"/>
        </w:numPr>
        <w:spacing w:after="60"/>
      </w:pPr>
      <w:r>
        <w:rPr>
          <w:color w:val="262626"/>
          <w:sz w:val="21"/>
          <w:szCs w:val="21"/>
        </w:rPr>
        <w:t xml:space="preserve">Assess the reason for diversion: weather deterioration, technical snag, medical emergency, fuel, passenger request, or ATC/security instruction.</w:t>
      </w:r>
    </w:p>
    <w:p>
      <w:pPr>
        <w:pStyle w:val="ListParagraph"/>
        <w:numPr>
          <w:ilvl w:val="0"/>
          <w:numId w:val="2"/>
        </w:numPr>
        <w:spacing w:after="60"/>
      </w:pPr>
      <w:r>
        <w:rPr>
          <w:color w:val="262626"/>
          <w:sz w:val="21"/>
          <w:szCs w:val="21"/>
        </w:rPr>
        <w:t xml:space="preserve">Select an alternate landing site that is DGCA-approved / listed in the operator's approved helipad list, or an emergency landing area meeting minimum size, surface, and obstacle clearance for the aircraft type.</w:t>
      </w:r>
    </w:p>
    <w:p>
      <w:pPr>
        <w:pStyle w:val="ListParagraph"/>
        <w:numPr>
          <w:ilvl w:val="0"/>
          <w:numId w:val="2"/>
        </w:numPr>
        <w:spacing w:after="60"/>
      </w:pPr>
      <w:r>
        <w:rPr>
          <w:color w:val="262626"/>
          <w:sz w:val="21"/>
          <w:szCs w:val="21"/>
        </w:rPr>
        <w:t xml:space="preserve">Notify ATC / Flight Information Centre (or company flight-following/dispatch if operating outside controlled airspace) of the revised destination, ETA, and reason, as soon as practicable.</w:t>
      </w:r>
    </w:p>
    <w:p>
      <w:pPr>
        <w:pStyle w:val="ListParagraph"/>
        <w:numPr>
          <w:ilvl w:val="0"/>
          <w:numId w:val="2"/>
        </w:numPr>
        <w:spacing w:after="60"/>
      </w:pPr>
      <w:r>
        <w:rPr>
          <w:color w:val="262626"/>
          <w:sz w:val="21"/>
          <w:szCs w:val="21"/>
        </w:rPr>
        <w:t xml:space="preserve">Notify company operations/dispatch so ground handling, transport, and passenger care can be arranged at the new location.</w:t>
      </w:r>
    </w:p>
    <w:p>
      <w:pPr>
        <w:pStyle w:val="ListParagraph"/>
        <w:numPr>
          <w:ilvl w:val="0"/>
          <w:numId w:val="2"/>
        </w:numPr>
        <w:spacing w:after="60"/>
      </w:pPr>
      <w:r>
        <w:rPr>
          <w:color w:val="262626"/>
          <w:sz w:val="21"/>
          <w:szCs w:val="21"/>
        </w:rPr>
        <w:t xml:space="preserve">Update the flight plan / journey log with the revised routing and reason for diversion.</w:t>
      </w:r>
    </w:p>
    <w:p>
      <w:pPr>
        <w:pStyle w:val="ListParagraph"/>
        <w:numPr>
          <w:ilvl w:val="0"/>
          <w:numId w:val="2"/>
        </w:numPr>
        <w:spacing w:after="60"/>
      </w:pPr>
      <w:r>
        <w:rPr>
          <w:color w:val="262626"/>
          <w:sz w:val="21"/>
          <w:szCs w:val="21"/>
        </w:rPr>
        <w:t xml:space="preserve">Brief passengers on the reason for diversion and revised plan as soon as safely possible.</w:t>
      </w:r>
    </w:p>
    <w:p>
      <w:pPr>
        <w:pStyle w:val="Heading2"/>
        <w:spacing w:after="120" w:before="260"/>
      </w:pPr>
      <w:r>
        <w:rPr>
          <w:b/>
          <w:bCs/>
          <w:color w:val="2E74B5"/>
          <w:sz w:val="24"/>
          <w:szCs w:val="24"/>
        </w:rPr>
        <w:t xml:space="preserve">4.2 Ground operations / dispatch actions</w:t>
      </w:r>
    </w:p>
    <w:p>
      <w:pPr>
        <w:pStyle w:val="ListParagraph"/>
        <w:numPr>
          <w:ilvl w:val="0"/>
          <w:numId w:val="2"/>
        </w:numPr>
        <w:spacing w:after="60"/>
      </w:pPr>
      <w:r>
        <w:rPr>
          <w:color w:val="262626"/>
          <w:sz w:val="21"/>
          <w:szCs w:val="21"/>
        </w:rPr>
        <w:t xml:space="preserve">Log the diversion event with time, reason, original and revised destination, and PIC name.</w:t>
      </w:r>
    </w:p>
    <w:p>
      <w:pPr>
        <w:pStyle w:val="ListParagraph"/>
        <w:numPr>
          <w:ilvl w:val="0"/>
          <w:numId w:val="2"/>
        </w:numPr>
        <w:spacing w:after="60"/>
      </w:pPr>
      <w:r>
        <w:rPr>
          <w:color w:val="262626"/>
          <w:sz w:val="21"/>
          <w:szCs w:val="21"/>
        </w:rPr>
        <w:t xml:space="preserve">Arrange ground transport, accommodation, or onward connection for passengers at the diverted location, per company passenger-care policy.</w:t>
      </w:r>
    </w:p>
    <w:p>
      <w:pPr>
        <w:pStyle w:val="ListParagraph"/>
        <w:numPr>
          <w:ilvl w:val="0"/>
          <w:numId w:val="2"/>
        </w:numPr>
        <w:spacing w:after="60"/>
      </w:pPr>
      <w:r>
        <w:rPr>
          <w:color w:val="262626"/>
          <w:sz w:val="21"/>
          <w:szCs w:val="21"/>
        </w:rPr>
        <w:t xml:space="preserve">Inform the booking party / next-of-kin contacts if there is a significant delay or the diversion affects connecting travel.</w:t>
      </w:r>
    </w:p>
    <w:p>
      <w:pPr>
        <w:pStyle w:val="ListParagraph"/>
        <w:numPr>
          <w:ilvl w:val="0"/>
          <w:numId w:val="2"/>
        </w:numPr>
        <w:spacing w:after="60"/>
      </w:pPr>
      <w:r>
        <w:rPr>
          <w:color w:val="262626"/>
          <w:sz w:val="21"/>
          <w:szCs w:val="21"/>
        </w:rPr>
        <w:t xml:space="preserve">For medical/technical diversions, notify the operator's Quality/Safety department for a mandatory occurrence report (per DGCA reporting requirements for incidents).</w:t>
      </w:r>
    </w:p>
    <w:p>
      <w:pPr>
        <w:pStyle w:val="ListParagraph"/>
        <w:numPr>
          <w:ilvl w:val="0"/>
          <w:numId w:val="2"/>
        </w:numPr>
        <w:spacing w:after="60"/>
      </w:pPr>
      <w:r>
        <w:rPr>
          <w:color w:val="262626"/>
          <w:sz w:val="21"/>
          <w:szCs w:val="21"/>
        </w:rPr>
        <w:t xml:space="preserve">Coordinate with the new landing site's operator/owner for landing permission if it is not on the pre-approved helipad list (private helipads require prior permission and, where applicable, local authority/police intimation).</w:t>
      </w:r>
    </w:p>
    <w:p>
      <w:pPr>
        <w:pStyle w:val="Heading2"/>
        <w:spacing w:after="120" w:before="260"/>
      </w:pPr>
      <w:r>
        <w:rPr>
          <w:b/>
          <w:bCs/>
          <w:color w:val="2E74B5"/>
          <w:sz w:val="24"/>
          <w:szCs w:val="24"/>
        </w:rPr>
        <w:t xml:space="preserve">4.3 Regulatory reporting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3100"/>
      </w:tblGrid>
      <w:tr>
        <w:trPr>
          <w:tblHeader/>
        </w:trPr>
        <w:tc>
          <w:tcPr>
            <w:tcW w:type="dxa" w:w="3300"/>
            <w:shd w:fill="1F3864" w:val="clear"/>
            <w:tcMar>
              <w:top w:type="dxa" w:w="80"/>
              <w:left w:type="dxa" w:w="120"/>
              <w:bottom w:type="dxa" w:w="80"/>
              <w:right w:type="dxa" w:w="120"/>
            </w:tcMar>
          </w:tcPr>
          <w:p>
            <w:r>
              <w:rPr>
                <w:b/>
                <w:bCs/>
                <w:color w:val="FFFFFF"/>
                <w:sz w:val="20"/>
                <w:szCs w:val="20"/>
              </w:rPr>
              <w:t xml:space="preserve">Trigger</w:t>
            </w:r>
          </w:p>
        </w:tc>
        <w:tc>
          <w:tcPr>
            <w:tcW w:type="dxa" w:w="3600"/>
            <w:shd w:fill="1F3864" w:val="clear"/>
            <w:tcMar>
              <w:top w:type="dxa" w:w="80"/>
              <w:left w:type="dxa" w:w="120"/>
              <w:bottom w:type="dxa" w:w="80"/>
              <w:right w:type="dxa" w:w="120"/>
            </w:tcMar>
          </w:tcPr>
          <w:p>
            <w:r>
              <w:rPr>
                <w:b/>
                <w:bCs/>
                <w:color w:val="FFFFFF"/>
                <w:sz w:val="20"/>
                <w:szCs w:val="20"/>
              </w:rPr>
              <w:t xml:space="preserve">Report to</w:t>
            </w:r>
          </w:p>
        </w:tc>
        <w:tc>
          <w:tcPr>
            <w:tcW w:type="dxa" w:w="3100"/>
            <w:shd w:fill="1F3864" w:val="clear"/>
            <w:tcMar>
              <w:top w:type="dxa" w:w="80"/>
              <w:left w:type="dxa" w:w="120"/>
              <w:bottom w:type="dxa" w:w="80"/>
              <w:right w:type="dxa" w:w="120"/>
            </w:tcMar>
          </w:tcPr>
          <w:p>
            <w:r>
              <w:rPr>
                <w:b/>
                <w:bCs/>
                <w:color w:val="FFFFFF"/>
                <w:sz w:val="20"/>
                <w:szCs w:val="20"/>
              </w:rPr>
              <w:t xml:space="preserve">Timeframe</w:t>
            </w:r>
          </w:p>
        </w:tc>
      </w:tr>
      <w:tr>
        <w:tc>
          <w:tcPr>
            <w:tcW w:type="dxa" w:w="3300"/>
            <w:tcMar>
              <w:top w:type="dxa" w:w="80"/>
              <w:left w:type="dxa" w:w="120"/>
              <w:bottom w:type="dxa" w:w="80"/>
              <w:right w:type="dxa" w:w="120"/>
            </w:tcMar>
          </w:tcPr>
          <w:p>
            <w:r>
              <w:rPr>
                <w:b w:val="false"/>
                <w:bCs w:val="false"/>
                <w:color w:val="262626"/>
                <w:sz w:val="20"/>
                <w:szCs w:val="20"/>
              </w:rPr>
              <w:t xml:space="preserve">Weather/technical diversion (routine, no damage/injury)</w:t>
            </w:r>
          </w:p>
        </w:tc>
        <w:tc>
          <w:tcPr>
            <w:tcW w:type="dxa" w:w="3600"/>
            <w:tcMar>
              <w:top w:type="dxa" w:w="80"/>
              <w:left w:type="dxa" w:w="120"/>
              <w:bottom w:type="dxa" w:w="80"/>
              <w:right w:type="dxa" w:w="120"/>
            </w:tcMar>
          </w:tcPr>
          <w:p>
            <w:r>
              <w:rPr>
                <w:b w:val="false"/>
                <w:bCs w:val="false"/>
                <w:color w:val="262626"/>
                <w:sz w:val="20"/>
                <w:szCs w:val="20"/>
              </w:rPr>
              <w:t xml:space="preserve">Company Ops &amp; Safety dept.; noted in journey log</w:t>
            </w:r>
          </w:p>
        </w:tc>
        <w:tc>
          <w:tcPr>
            <w:tcW w:type="dxa" w:w="3100"/>
            <w:tcMar>
              <w:top w:type="dxa" w:w="80"/>
              <w:left w:type="dxa" w:w="120"/>
              <w:bottom w:type="dxa" w:w="80"/>
              <w:right w:type="dxa" w:w="120"/>
            </w:tcMar>
          </w:tcPr>
          <w:p>
            <w:r>
              <w:rPr>
                <w:b w:val="false"/>
                <w:bCs w:val="false"/>
                <w:color w:val="262626"/>
                <w:sz w:val="20"/>
                <w:szCs w:val="20"/>
              </w:rPr>
              <w:t xml:space="preserve">Same day</w:t>
            </w:r>
          </w:p>
        </w:tc>
      </w:tr>
      <w:tr>
        <w:tc>
          <w:tcPr>
            <w:tcW w:type="dxa" w:w="3300"/>
            <w:tcMar>
              <w:top w:type="dxa" w:w="80"/>
              <w:left w:type="dxa" w:w="120"/>
              <w:bottom w:type="dxa" w:w="80"/>
              <w:right w:type="dxa" w:w="120"/>
            </w:tcMar>
          </w:tcPr>
          <w:p>
            <w:r>
              <w:rPr>
                <w:b w:val="false"/>
                <w:bCs w:val="false"/>
                <w:color w:val="262626"/>
                <w:sz w:val="20"/>
                <w:szCs w:val="20"/>
              </w:rPr>
              <w:t xml:space="preserve">Diversion involving a technical malfunction</w:t>
            </w:r>
          </w:p>
        </w:tc>
        <w:tc>
          <w:tcPr>
            <w:tcW w:type="dxa" w:w="3600"/>
            <w:tcMar>
              <w:top w:type="dxa" w:w="80"/>
              <w:left w:type="dxa" w:w="120"/>
              <w:bottom w:type="dxa" w:w="80"/>
              <w:right w:type="dxa" w:w="120"/>
            </w:tcMar>
          </w:tcPr>
          <w:p>
            <w:r>
              <w:rPr>
                <w:b w:val="false"/>
                <w:bCs w:val="false"/>
                <w:color w:val="262626"/>
                <w:sz w:val="20"/>
                <w:szCs w:val="20"/>
              </w:rPr>
              <w:t xml:space="preserve">DGCA (as an occurrence/incident per applicable CAR) + company Quality dept.</w:t>
            </w:r>
          </w:p>
        </w:tc>
        <w:tc>
          <w:tcPr>
            <w:tcW w:type="dxa" w:w="3100"/>
            <w:tcMar>
              <w:top w:type="dxa" w:w="80"/>
              <w:left w:type="dxa" w:w="120"/>
              <w:bottom w:type="dxa" w:w="80"/>
              <w:right w:type="dxa" w:w="120"/>
            </w:tcMar>
          </w:tcPr>
          <w:p>
            <w:r>
              <w:rPr>
                <w:b w:val="false"/>
                <w:bCs w:val="false"/>
                <w:color w:val="262626"/>
                <w:sz w:val="20"/>
                <w:szCs w:val="20"/>
              </w:rPr>
              <w:t xml:space="preserve">As per operator's reporting SOP, typically within 24–72 hrs</w:t>
            </w:r>
          </w:p>
        </w:tc>
      </w:tr>
      <w:tr>
        <w:tc>
          <w:tcPr>
            <w:tcW w:type="dxa" w:w="3300"/>
            <w:tcMar>
              <w:top w:type="dxa" w:w="80"/>
              <w:left w:type="dxa" w:w="120"/>
              <w:bottom w:type="dxa" w:w="80"/>
              <w:right w:type="dxa" w:w="120"/>
            </w:tcMar>
          </w:tcPr>
          <w:p>
            <w:r>
              <w:rPr>
                <w:b w:val="false"/>
                <w:bCs w:val="false"/>
                <w:color w:val="262626"/>
                <w:sz w:val="20"/>
                <w:szCs w:val="20"/>
              </w:rPr>
              <w:t xml:space="preserve">Diversion involving injury, medical emergency or security event</w:t>
            </w:r>
          </w:p>
        </w:tc>
        <w:tc>
          <w:tcPr>
            <w:tcW w:type="dxa" w:w="3600"/>
            <w:tcMar>
              <w:top w:type="dxa" w:w="80"/>
              <w:left w:type="dxa" w:w="120"/>
              <w:bottom w:type="dxa" w:w="80"/>
              <w:right w:type="dxa" w:w="120"/>
            </w:tcMar>
          </w:tcPr>
          <w:p>
            <w:r>
              <w:rPr>
                <w:b w:val="false"/>
                <w:bCs w:val="false"/>
                <w:color w:val="262626"/>
                <w:sz w:val="20"/>
                <w:szCs w:val="20"/>
              </w:rPr>
              <w:t xml:space="preserve">DGCA, local police/authorities as applicable, company Safety dept.</w:t>
            </w:r>
          </w:p>
        </w:tc>
        <w:tc>
          <w:tcPr>
            <w:tcW w:type="dxa" w:w="3100"/>
            <w:tcMar>
              <w:top w:type="dxa" w:w="80"/>
              <w:left w:type="dxa" w:w="120"/>
              <w:bottom w:type="dxa" w:w="80"/>
              <w:right w:type="dxa" w:w="120"/>
            </w:tcMar>
          </w:tcPr>
          <w:p>
            <w:r>
              <w:rPr>
                <w:b w:val="false"/>
                <w:bCs w:val="false"/>
                <w:color w:val="262626"/>
                <w:sz w:val="20"/>
                <w:szCs w:val="20"/>
              </w:rPr>
              <w:t xml:space="preserve">Immediate + formal report within prescribed period</w:t>
            </w:r>
          </w:p>
        </w:tc>
      </w:tr>
      <w:tr>
        <w:tc>
          <w:tcPr>
            <w:tcW w:type="dxa" w:w="3300"/>
            <w:tcMar>
              <w:top w:type="dxa" w:w="80"/>
              <w:left w:type="dxa" w:w="120"/>
              <w:bottom w:type="dxa" w:w="80"/>
              <w:right w:type="dxa" w:w="120"/>
            </w:tcMar>
          </w:tcPr>
          <w:p>
            <w:r>
              <w:rPr>
                <w:b w:val="false"/>
                <w:bCs w:val="false"/>
                <w:color w:val="262626"/>
                <w:sz w:val="20"/>
                <w:szCs w:val="20"/>
              </w:rPr>
              <w:t xml:space="preserve">Landing at a helipad outside the approved list</w:t>
            </w:r>
          </w:p>
        </w:tc>
        <w:tc>
          <w:tcPr>
            <w:tcW w:type="dxa" w:w="3600"/>
            <w:tcMar>
              <w:top w:type="dxa" w:w="80"/>
              <w:left w:type="dxa" w:w="120"/>
              <w:bottom w:type="dxa" w:w="80"/>
              <w:right w:type="dxa" w:w="120"/>
            </w:tcMar>
          </w:tcPr>
          <w:p>
            <w:r>
              <w:rPr>
                <w:b w:val="false"/>
                <w:bCs w:val="false"/>
                <w:color w:val="262626"/>
                <w:sz w:val="20"/>
                <w:szCs w:val="20"/>
              </w:rPr>
              <w:t xml:space="preserve">Prior permission from site owner/local authority; recorded in the flight/ops log</w:t>
            </w:r>
          </w:p>
        </w:tc>
        <w:tc>
          <w:tcPr>
            <w:tcW w:type="dxa" w:w="3100"/>
            <w:tcMar>
              <w:top w:type="dxa" w:w="80"/>
              <w:left w:type="dxa" w:w="120"/>
              <w:bottom w:type="dxa" w:w="80"/>
              <w:right w:type="dxa" w:w="120"/>
            </w:tcMar>
          </w:tcPr>
          <w:p>
            <w:r>
              <w:rPr>
                <w:b w:val="false"/>
                <w:bCs w:val="false"/>
                <w:color w:val="262626"/>
                <w:sz w:val="20"/>
                <w:szCs w:val="20"/>
              </w:rPr>
              <w:t xml:space="preserve">Before or immediately after landing</w:t>
            </w:r>
          </w:p>
        </w:tc>
      </w:tr>
    </w:tbl>
    <w:p>
      <w:pPr>
        <w:pBdr>
          <w:top w:val="single" w:color="BF9000" w:sz="4" w:space="4"/>
          <w:bottom w:val="single" w:color="BF9000" w:sz="4" w:space="4"/>
          <w:left w:val="single" w:color="BF9000" w:sz="4" w:space="4"/>
          <w:right w:val="single" w:color="BF9000" w:sz="4" w:space="4"/>
        </w:pBdr>
        <w:shd w:fill="FFF2CC" w:val="clear"/>
        <w:spacing w:after="200" w:before="80"/>
      </w:pPr>
      <w:r>
        <w:rPr>
          <w:i/>
          <w:iCs/>
          <w:color w:val="594100"/>
          <w:sz w:val="19"/>
          <w:szCs w:val="19"/>
        </w:rPr>
        <w:t xml:space="preserve">Note: Exact reporting timelines and thresholds (what counts as a reportable occurrence) are defined in your operator's approved Operations Manual and the applicable DGCA CAR — confirm the current thresholds with your Safety/Quality department before publishing this as a binding SOP.</w:t>
      </w:r>
    </w:p>
    <w:p>
      <w:pPr>
        <w:pStyle w:val="Heading1"/>
        <w:pBdr>
          <w:bottom w:val="single" w:color="2E74B5" w:sz="6" w:space="4"/>
        </w:pBdr>
        <w:spacing w:after="200" w:before="400"/>
      </w:pPr>
      <w:r>
        <w:rPr>
          <w:b/>
          <w:bCs/>
          <w:color w:val="1F3864"/>
          <w:sz w:val="30"/>
          <w:szCs w:val="30"/>
        </w:rPr>
        <w:t xml:space="preserve">5. Landing Site &amp; Helipad Compliance</w:t>
      </w:r>
    </w:p>
    <w:p>
      <w:pPr>
        <w:pStyle w:val="ListParagraph"/>
        <w:numPr>
          <w:ilvl w:val="0"/>
          <w:numId w:val="2"/>
        </w:numPr>
        <w:spacing w:after="60"/>
      </w:pPr>
      <w:r>
        <w:rPr>
          <w:color w:val="262626"/>
          <w:sz w:val="21"/>
          <w:szCs w:val="21"/>
        </w:rPr>
        <w:t xml:space="preserve">Confirm the landing site is on the operator's DGCA-approved helipad/helideck list, or has valid temporary landing permission for the date of operation.</w:t>
      </w:r>
    </w:p>
    <w:p>
      <w:pPr>
        <w:pStyle w:val="ListParagraph"/>
        <w:numPr>
          <w:ilvl w:val="0"/>
          <w:numId w:val="2"/>
        </w:numPr>
        <w:spacing w:after="60"/>
      </w:pPr>
      <w:r>
        <w:rPr>
          <w:color w:val="262626"/>
          <w:sz w:val="21"/>
          <w:szCs w:val="21"/>
        </w:rPr>
        <w:t xml:space="preserve">Verify site security screening, fire cover, and ground handling arrangements are in place before passengers arrive.</w:t>
      </w:r>
    </w:p>
    <w:p>
      <w:pPr>
        <w:pStyle w:val="ListParagraph"/>
        <w:numPr>
          <w:ilvl w:val="0"/>
          <w:numId w:val="2"/>
        </w:numPr>
        <w:spacing w:after="60"/>
      </w:pPr>
      <w:r>
        <w:rPr>
          <w:color w:val="262626"/>
          <w:sz w:val="21"/>
          <w:szCs w:val="21"/>
        </w:rPr>
        <w:t xml:space="preserve">For private/temporary helipads (common for corporate/VIP charters), obtain written landing permission in advance and keep a copy in the flight file.</w:t>
      </w:r>
    </w:p>
    <w:p>
      <w:pPr>
        <w:pStyle w:val="ListParagraph"/>
        <w:numPr>
          <w:ilvl w:val="0"/>
          <w:numId w:val="2"/>
        </w:numPr>
        <w:spacing w:after="60"/>
      </w:pPr>
      <w:r>
        <w:rPr>
          <w:color w:val="262626"/>
          <w:sz w:val="21"/>
          <w:szCs w:val="21"/>
        </w:rPr>
        <w:t xml:space="preserve">Check local police/authority intimation requirements where applicable, particularly for VIP movements.</w:t>
      </w:r>
    </w:p>
    <w:p>
      <w:pPr>
        <w:pStyle w:val="Heading1"/>
        <w:pBdr>
          <w:bottom w:val="single" w:color="2E74B5" w:sz="6" w:space="4"/>
        </w:pBdr>
        <w:spacing w:after="200" w:before="400"/>
      </w:pPr>
      <w:r>
        <w:rPr>
          <w:b/>
          <w:bCs/>
          <w:color w:val="1F3864"/>
          <w:sz w:val="30"/>
          <w:szCs w:val="30"/>
        </w:rPr>
        <w:t xml:space="preserve">6. Pre-Flight Passenger Briefing Checklist</w:t>
      </w:r>
    </w:p>
    <w:p>
      <w:pPr>
        <w:pStyle w:val="ListParagraph"/>
        <w:numPr>
          <w:ilvl w:val="0"/>
          <w:numId w:val="2"/>
        </w:numPr>
        <w:spacing w:after="60"/>
      </w:pPr>
      <w:r>
        <w:rPr>
          <w:color w:val="262626"/>
          <w:sz w:val="21"/>
          <w:szCs w:val="21"/>
        </w:rPr>
        <w:t xml:space="preserve">Seatbelt and harness use, headset/hearing protection</w:t>
      </w:r>
    </w:p>
    <w:p>
      <w:pPr>
        <w:pStyle w:val="ListParagraph"/>
        <w:numPr>
          <w:ilvl w:val="0"/>
          <w:numId w:val="2"/>
        </w:numPr>
        <w:spacing w:after="60"/>
      </w:pPr>
      <w:r>
        <w:rPr>
          <w:color w:val="262626"/>
          <w:sz w:val="21"/>
          <w:szCs w:val="21"/>
        </w:rPr>
        <w:t xml:space="preserve">Emergency exits and brace position</w:t>
      </w:r>
    </w:p>
    <w:p>
      <w:pPr>
        <w:pStyle w:val="ListParagraph"/>
        <w:numPr>
          <w:ilvl w:val="0"/>
          <w:numId w:val="2"/>
        </w:numPr>
        <w:spacing w:after="60"/>
      </w:pPr>
      <w:r>
        <w:rPr>
          <w:color w:val="262626"/>
          <w:sz w:val="21"/>
          <w:szCs w:val="21"/>
        </w:rPr>
        <w:t xml:space="preserve">Prohibited actions during flight: no smoking, no loose items near the tail rotor area, no standing during rotor operation</w:t>
      </w:r>
    </w:p>
    <w:p>
      <w:pPr>
        <w:pStyle w:val="ListParagraph"/>
        <w:numPr>
          <w:ilvl w:val="0"/>
          <w:numId w:val="2"/>
        </w:numPr>
        <w:spacing w:after="60"/>
      </w:pPr>
      <w:r>
        <w:rPr>
          <w:color w:val="262626"/>
          <w:sz w:val="21"/>
          <w:szCs w:val="21"/>
        </w:rPr>
        <w:t xml:space="preserve">Weight and baggage declared matches what is boarding</w:t>
      </w:r>
    </w:p>
    <w:p>
      <w:pPr>
        <w:pStyle w:val="ListParagraph"/>
        <w:numPr>
          <w:ilvl w:val="0"/>
          <w:numId w:val="2"/>
        </w:numPr>
        <w:spacing w:after="60"/>
      </w:pPr>
      <w:r>
        <w:rPr>
          <w:color w:val="262626"/>
          <w:sz w:val="21"/>
          <w:szCs w:val="21"/>
        </w:rPr>
        <w:t xml:space="preserve">Photography/drone use restrictions on tourism flights, if any</w:t>
      </w:r>
    </w:p>
    <w:p>
      <w:pPr>
        <w:pStyle w:val="ListParagraph"/>
        <w:numPr>
          <w:ilvl w:val="0"/>
          <w:numId w:val="2"/>
        </w:numPr>
        <w:spacing w:after="60"/>
      </w:pPr>
      <w:r>
        <w:rPr>
          <w:color w:val="262626"/>
          <w:sz w:val="21"/>
          <w:szCs w:val="21"/>
        </w:rPr>
        <w:t xml:space="preserve">What to do in case of diversion or delay (contact numbers, ground transport arrangements)</w:t>
      </w:r>
    </w:p>
    <w:p>
      <w:pPr>
        <w:pStyle w:val="Heading1"/>
        <w:pBdr>
          <w:bottom w:val="single" w:color="2E74B5" w:sz="6" w:space="4"/>
        </w:pBdr>
        <w:spacing w:after="200" w:before="400"/>
      </w:pPr>
      <w:r>
        <w:rPr>
          <w:b/>
          <w:bCs/>
          <w:color w:val="1F3864"/>
          <w:sz w:val="30"/>
          <w:szCs w:val="30"/>
        </w:rPr>
        <w:t xml:space="preserve">7. Quick-Reference Summary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3864" w:val="clear"/>
            <w:tcMar>
              <w:top w:type="dxa" w:w="80"/>
              <w:left w:type="dxa" w:w="120"/>
              <w:bottom w:type="dxa" w:w="80"/>
              <w:right w:type="dxa" w:w="120"/>
            </w:tcMar>
          </w:tcPr>
          <w:p>
            <w:r>
              <w:rPr>
                <w:b/>
                <w:bCs/>
                <w:color w:val="FFFFFF"/>
                <w:sz w:val="20"/>
                <w:szCs w:val="20"/>
              </w:rPr>
              <w:t xml:space="preserve">Category</w:t>
            </w:r>
          </w:p>
        </w:tc>
        <w:tc>
          <w:tcPr>
            <w:tcW w:type="dxa" w:w="7000"/>
            <w:shd w:fill="1F3864" w:val="clear"/>
            <w:tcMar>
              <w:top w:type="dxa" w:w="80"/>
              <w:left w:type="dxa" w:w="120"/>
              <w:bottom w:type="dxa" w:w="80"/>
              <w:right w:type="dxa" w:w="120"/>
            </w:tcMar>
          </w:tcPr>
          <w:p>
            <w:r>
              <w:rPr>
                <w:b/>
                <w:bCs/>
                <w:color w:val="FFFFFF"/>
                <w:sz w:val="20"/>
                <w:szCs w:val="20"/>
              </w:rPr>
              <w:t xml:space="preserve">Key compliance point</w:t>
            </w:r>
          </w:p>
        </w:tc>
      </w:tr>
      <w:tr>
        <w:tc>
          <w:tcPr>
            <w:tcW w:type="dxa" w:w="3000"/>
            <w:tcMar>
              <w:top w:type="dxa" w:w="80"/>
              <w:left w:type="dxa" w:w="120"/>
              <w:bottom w:type="dxa" w:w="80"/>
              <w:right w:type="dxa" w:w="120"/>
            </w:tcMar>
          </w:tcPr>
          <w:p>
            <w:r>
              <w:rPr>
                <w:b w:val="false"/>
                <w:bCs w:val="false"/>
                <w:color w:val="262626"/>
                <w:sz w:val="20"/>
                <w:szCs w:val="20"/>
              </w:rPr>
              <w:t xml:space="preserve">Documents</w:t>
            </w:r>
          </w:p>
        </w:tc>
        <w:tc>
          <w:tcPr>
            <w:tcW w:type="dxa" w:w="7000"/>
            <w:tcMar>
              <w:top w:type="dxa" w:w="80"/>
              <w:left w:type="dxa" w:w="120"/>
              <w:bottom w:type="dxa" w:w="80"/>
              <w:right w:type="dxa" w:w="120"/>
            </w:tcMar>
          </w:tcPr>
          <w:p>
            <w:r>
              <w:rPr>
                <w:b w:val="false"/>
                <w:bCs w:val="false"/>
                <w:color w:val="262626"/>
                <w:sz w:val="20"/>
                <w:szCs w:val="20"/>
              </w:rPr>
              <w:t xml:space="preserve">Original photo ID + booking confirmation + signed weight declaration, every passenger, every flight</w:t>
            </w:r>
          </w:p>
        </w:tc>
      </w:tr>
      <w:tr>
        <w:tc>
          <w:tcPr>
            <w:tcW w:type="dxa" w:w="3000"/>
            <w:tcMar>
              <w:top w:type="dxa" w:w="80"/>
              <w:left w:type="dxa" w:w="120"/>
              <w:bottom w:type="dxa" w:w="80"/>
              <w:right w:type="dxa" w:w="120"/>
            </w:tcMar>
          </w:tcPr>
          <w:p>
            <w:r>
              <w:rPr>
                <w:b w:val="false"/>
                <w:bCs w:val="false"/>
                <w:color w:val="262626"/>
                <w:sz w:val="20"/>
                <w:szCs w:val="20"/>
              </w:rPr>
              <w:t xml:space="preserve">Baggage</w:t>
            </w:r>
          </w:p>
        </w:tc>
        <w:tc>
          <w:tcPr>
            <w:tcW w:type="dxa" w:w="7000"/>
            <w:tcMar>
              <w:top w:type="dxa" w:w="80"/>
              <w:left w:type="dxa" w:w="120"/>
              <w:bottom w:type="dxa" w:w="80"/>
              <w:right w:type="dxa" w:w="120"/>
            </w:tcMar>
          </w:tcPr>
          <w:p>
            <w:r>
              <w:rPr>
                <w:b w:val="false"/>
                <w:bCs w:val="false"/>
                <w:color w:val="262626"/>
                <w:sz w:val="20"/>
                <w:szCs w:val="20"/>
              </w:rPr>
              <w:t xml:space="preserve">Soft-sided, weighed at check-in, hand baggage only unless pod is confirmed; no DG items</w:t>
            </w:r>
          </w:p>
        </w:tc>
      </w:tr>
      <w:tr>
        <w:tc>
          <w:tcPr>
            <w:tcW w:type="dxa" w:w="3000"/>
            <w:tcMar>
              <w:top w:type="dxa" w:w="80"/>
              <w:left w:type="dxa" w:w="120"/>
              <w:bottom w:type="dxa" w:w="80"/>
              <w:right w:type="dxa" w:w="120"/>
            </w:tcMar>
          </w:tcPr>
          <w:p>
            <w:r>
              <w:rPr>
                <w:b w:val="false"/>
                <w:bCs w:val="false"/>
                <w:color w:val="262626"/>
                <w:sz w:val="20"/>
                <w:szCs w:val="20"/>
              </w:rPr>
              <w:t xml:space="preserve">Food/drink</w:t>
            </w:r>
          </w:p>
        </w:tc>
        <w:tc>
          <w:tcPr>
            <w:tcW w:type="dxa" w:w="7000"/>
            <w:tcMar>
              <w:top w:type="dxa" w:w="80"/>
              <w:left w:type="dxa" w:w="120"/>
              <w:bottom w:type="dxa" w:w="80"/>
              <w:right w:type="dxa" w:w="120"/>
            </w:tcMar>
          </w:tcPr>
          <w:p>
            <w:r>
              <w:rPr>
                <w:b w:val="false"/>
                <w:bCs w:val="false"/>
                <w:color w:val="262626"/>
                <w:sz w:val="20"/>
                <w:szCs w:val="20"/>
              </w:rPr>
              <w:t xml:space="preserve">Pre-packaged, sealed, lightweight, non-glass containers only; weight declared</w:t>
            </w:r>
          </w:p>
        </w:tc>
      </w:tr>
      <w:tr>
        <w:tc>
          <w:tcPr>
            <w:tcW w:type="dxa" w:w="3000"/>
            <w:tcMar>
              <w:top w:type="dxa" w:w="80"/>
              <w:left w:type="dxa" w:w="120"/>
              <w:bottom w:type="dxa" w:w="80"/>
              <w:right w:type="dxa" w:w="120"/>
            </w:tcMar>
          </w:tcPr>
          <w:p>
            <w:r>
              <w:rPr>
                <w:b w:val="false"/>
                <w:bCs w:val="false"/>
                <w:color w:val="262626"/>
                <w:sz w:val="20"/>
                <w:szCs w:val="20"/>
              </w:rPr>
              <w:t xml:space="preserve">Diversion</w:t>
            </w:r>
          </w:p>
        </w:tc>
        <w:tc>
          <w:tcPr>
            <w:tcW w:type="dxa" w:w="7000"/>
            <w:tcMar>
              <w:top w:type="dxa" w:w="80"/>
              <w:left w:type="dxa" w:w="120"/>
              <w:bottom w:type="dxa" w:w="80"/>
              <w:right w:type="dxa" w:w="120"/>
            </w:tcMar>
          </w:tcPr>
          <w:p>
            <w:r>
              <w:rPr>
                <w:b w:val="false"/>
                <w:bCs w:val="false"/>
                <w:color w:val="262626"/>
                <w:sz w:val="20"/>
                <w:szCs w:val="20"/>
              </w:rPr>
              <w:t xml:space="preserve">PIC notifies ATC + dispatch immediately; log reason, time, revised destination; report per CAR thresholds</w:t>
            </w:r>
          </w:p>
        </w:tc>
      </w:tr>
      <w:tr>
        <w:tc>
          <w:tcPr>
            <w:tcW w:type="dxa" w:w="3000"/>
            <w:tcMar>
              <w:top w:type="dxa" w:w="80"/>
              <w:left w:type="dxa" w:w="120"/>
              <w:bottom w:type="dxa" w:w="80"/>
              <w:right w:type="dxa" w:w="120"/>
            </w:tcMar>
          </w:tcPr>
          <w:p>
            <w:r>
              <w:rPr>
                <w:b w:val="false"/>
                <w:bCs w:val="false"/>
                <w:color w:val="262626"/>
                <w:sz w:val="20"/>
                <w:szCs w:val="20"/>
              </w:rPr>
              <w:t xml:space="preserve">Landing site</w:t>
            </w:r>
          </w:p>
        </w:tc>
        <w:tc>
          <w:tcPr>
            <w:tcW w:type="dxa" w:w="7000"/>
            <w:tcMar>
              <w:top w:type="dxa" w:w="80"/>
              <w:left w:type="dxa" w:w="120"/>
              <w:bottom w:type="dxa" w:w="80"/>
              <w:right w:type="dxa" w:w="120"/>
            </w:tcMar>
          </w:tcPr>
          <w:p>
            <w:r>
              <w:rPr>
                <w:b w:val="false"/>
                <w:bCs w:val="false"/>
                <w:color w:val="262626"/>
                <w:sz w:val="20"/>
                <w:szCs w:val="20"/>
              </w:rPr>
              <w:t xml:space="preserve">Must be DGCA-approved or have written prior permission; security/fire cover confirmed</w:t>
            </w:r>
          </w:p>
        </w:tc>
      </w:tr>
      <w:tr>
        <w:tc>
          <w:tcPr>
            <w:tcW w:type="dxa" w:w="3000"/>
            <w:tcMar>
              <w:top w:type="dxa" w:w="80"/>
              <w:left w:type="dxa" w:w="120"/>
              <w:bottom w:type="dxa" w:w="80"/>
              <w:right w:type="dxa" w:w="120"/>
            </w:tcMar>
          </w:tcPr>
          <w:p>
            <w:r>
              <w:rPr>
                <w:b w:val="false"/>
                <w:bCs w:val="false"/>
                <w:color w:val="262626"/>
                <w:sz w:val="20"/>
                <w:szCs w:val="20"/>
              </w:rPr>
              <w:t xml:space="preserve">Medical/HEMS extras</w:t>
            </w:r>
          </w:p>
        </w:tc>
        <w:tc>
          <w:tcPr>
            <w:tcW w:type="dxa" w:w="7000"/>
            <w:tcMar>
              <w:top w:type="dxa" w:w="80"/>
              <w:left w:type="dxa" w:w="120"/>
              <w:bottom w:type="dxa" w:w="80"/>
              <w:right w:type="dxa" w:w="120"/>
            </w:tcMar>
          </w:tcPr>
          <w:p>
            <w:r>
              <w:rPr>
                <w:b w:val="false"/>
                <w:bCs w:val="false"/>
                <w:color w:val="262626"/>
                <w:sz w:val="20"/>
                <w:szCs w:val="20"/>
              </w:rPr>
              <w:t xml:space="preserve">DG clearance for oxygen/medical devices; medical fitness cert for flagged passengers</w:t>
            </w:r>
          </w:p>
        </w:tc>
      </w:tr>
    </w:tbl>
    <w:p>
      <w:pPr>
        <w:spacing w:before="400"/>
      </w:pPr>
      <w:r>
        <w:rPr>
          <w:i/>
          <w:iCs/>
          <w:color w:val="595959"/>
          <w:sz w:val="18"/>
          <w:szCs w:val="18"/>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2026-09-23T07:29:19.458Z</dcterms:created>
  <dcterms:modified xsi:type="dcterms:W3CDTF">2026-09-23T07:29:19.459Z</dcterms:modified>
</cp:coreProperties>
</file>

<file path=docProps/custom.xml><?xml version="1.0" encoding="utf-8"?>
<Properties xmlns="http://schemas.openxmlformats.org/officeDocument/2006/custom-properties" xmlns:vt="http://schemas.openxmlformats.org/officeDocument/2006/docPropsVTypes"/>
</file>