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b6d7a8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Вам, как специалисту отдела аналитики поступило задание  «На страничку «Размеры» справочника «Товары» прошу добавить большую красную кнопку. Размеры кнопки указаны во вложении». Опишите, пожалуйста,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этапы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 реализации данной доработки (тезисно в несколько слов).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Бизнес-логика: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Уточнить логику кнопки: входные данные, как работает, результат работы.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Уточнить дизайн кнопки: что должно быть написано на кнопке (чтобы пользователь понимал, что она делает), расположение на странице.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Оценка по времени (расставить приоритет среди текущих задач):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Уточнить срок выполнения данного задания.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 (проверка всех требований бизнес-логики кнопки).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необходимости доработка (повторяем 3 и 4 этапы).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Релиз задания.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  <w:rtl w:val="0"/>
        </w:rPr>
        <w:t xml:space="preserve">Задание 2: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Опишите, пожалуйста, кратко основные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функциональные 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разработку приложения: Тамагочи под мобильное приложение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Вход/Регистрация</w:t>
      </w:r>
      <w:r w:rsidDel="00000000" w:rsidR="00000000" w:rsidRPr="00000000">
        <w:rPr>
          <w:sz w:val="24"/>
          <w:szCs w:val="24"/>
          <w:rtl w:val="0"/>
        </w:rPr>
        <w:t xml:space="preserve">. При входе Пользователю предоставляются три функции: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</w:t>
      </w:r>
      <w:r w:rsidDel="00000000" w:rsidR="00000000" w:rsidRPr="00000000">
        <w:rPr>
          <w:sz w:val="24"/>
          <w:szCs w:val="24"/>
          <w:rtl w:val="0"/>
        </w:rPr>
        <w:t xml:space="preserve"> (Логин/Пароль; Возможность входа через соц. сети; При неправильных данных сообщать пользователю об ошибке);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Забыли пароль (Отправить на почту ссылку на обновление пароля);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Зарегистрироваться (Поле с email, password, password (again), согласие с условиями, в частности разрешение на показ уведомлений для системы);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Новые Пользователи / Смерть питомца</w:t>
      </w:r>
      <w:r w:rsidDel="00000000" w:rsidR="00000000" w:rsidRPr="00000000">
        <w:rPr>
          <w:sz w:val="24"/>
          <w:szCs w:val="24"/>
          <w:rtl w:val="0"/>
        </w:rPr>
        <w:t xml:space="preserve">. При первом входе в игру Пользователю доступны следующие функции: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Выбор уровня сложности (чем сложнее уровень тем чаще питомец что-то требует; окно появляется при входе или сразу после смерти питомца с предложением попробовать ещё раз; в течении игры нельзя изменить);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питомца (пользователь может выбрать питомца и его внешний вид; появляется после уровня сложности; в течении игры нельзя изменить);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Выбор фона и ввод имени питомца (изменяет имя питомца и фон/место жилья питомца; можно изменять в течении игры в меню настройки);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помощник (объясняет весь интерфейс приложения при открытии какого либо окна с помощью диалоговых сообщение; можно отключить или она отключится автоматически по истечению надобности);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Доступные функции для всех пользователей: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Открывать игру с помощью уведомления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Возможность отправлять уведомления с разным типом заданий для Питомца);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Рассчитывать значение потребностей питомца в зависимости от уровня сложности и возраста питомца;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Кормить питомца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Функция, которая позволит пользователю покормить питомца: по нажатию на потребность “Еда”, переход в окно “Кухня”, перетаскивать на питомца еду.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Выбирать продукты и покупать их за монеты: в холодильнике выбрать необходимые продукт, перетаскивая их в корзину);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Мыть питомца: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Функция, которая позволит пользователю помыть питомца по нажатию на потребность “Гигиена”, </w:t>
      </w:r>
      <w:r w:rsidDel="00000000" w:rsidR="00000000" w:rsidRPr="00000000">
        <w:rPr>
          <w:sz w:val="24"/>
          <w:szCs w:val="24"/>
          <w:rtl w:val="0"/>
        </w:rPr>
        <w:t xml:space="preserve">переходить в окно “Ванная”, перетаскивая “мыло”, натереть “питомца”, при этом пополняется потребность “Интимная гигиена”  и смывать водой.Пользователь получает “10 монет”);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Сон Питомца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потребность “Сон”, питомец засыпает, при этом Питомец блокируется (над ним нельзя проводить никакие действия до полного восстановления потребности “Сон”), с уровнем (возрастом питомца) сон удлиняется.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 и внимание к питомцу: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для выбора игры с питомцем: прочитать книгу, посмотреть телевизор и тд.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для </w:t>
      </w:r>
      <w:r w:rsidDel="00000000" w:rsidR="00000000" w:rsidRPr="00000000">
        <w:rPr>
          <w:sz w:val="24"/>
          <w:szCs w:val="24"/>
          <w:rtl w:val="0"/>
        </w:rPr>
        <w:t xml:space="preserve">смены нарядов для Питомца (за монеты/денежные средства).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чтобы погладить Питомца и увеличивать потребность </w:t>
      </w:r>
      <w:r w:rsidDel="00000000" w:rsidR="00000000" w:rsidRPr="00000000">
        <w:rPr>
          <w:sz w:val="24"/>
          <w:szCs w:val="24"/>
          <w:rtl w:val="0"/>
        </w:rPr>
        <w:t xml:space="preserve">Развитие и внимание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для поощрения Пользователя “монетами” за достижения в игре (при разных исполнениях потребности игрок получает 10 монет , при прохождение дополнительных заданий получает определенное количество монет);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совершать покупки за “монеты” в разделе “Еда”, “Развитии”, “Покупка бонусов для ухода за питомцем”;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совершать покупки за денежные средства;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смерти питомца когда он стареет или игрок не выполняет потребности питомца регулярно.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  <w:rtl w:val="0"/>
        </w:rPr>
        <w:t xml:space="preserve">Темы к самостоятельному обучению: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СУБД.  Понятие выборки в SQL. Простые запросы (Select)</w:t>
      </w:r>
    </w:p>
    <w:tbl>
      <w:tblPr>
        <w:tblStyle w:val="Table1"/>
        <w:tblW w:w="4524.0" w:type="dxa"/>
        <w:jc w:val="left"/>
        <w:tblInd w:w="0.0" w:type="dxa"/>
        <w:tblLayout w:type="fixed"/>
        <w:tblLook w:val="0000"/>
      </w:tblPr>
      <w:tblGrid>
        <w:gridCol w:w="1290"/>
        <w:gridCol w:w="1240"/>
        <w:gridCol w:w="1297"/>
        <w:gridCol w:w="697"/>
        <w:tblGridChange w:id="0">
          <w:tblGrid>
            <w:gridCol w:w="1290"/>
            <w:gridCol w:w="1240"/>
            <w:gridCol w:w="1297"/>
            <w:gridCol w:w="697"/>
          </w:tblGrid>
        </w:tblGridChange>
      </w:tblGrid>
      <w:tr>
        <w:trPr>
          <w:trHeight w:val="25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3.03149606299286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Таблица 2:Чек продажи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Номер чека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Чек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Чек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Чек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Чек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</w:tr>
      <w:tr>
        <w:trPr>
          <w:trHeight w:val="17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Чек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Чек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7,3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87.0" w:type="dxa"/>
        <w:jc w:val="left"/>
        <w:tblInd w:w="0.0" w:type="dxa"/>
        <w:tblLayout w:type="fixed"/>
        <w:tblLook w:val="0000"/>
      </w:tblPr>
      <w:tblGrid>
        <w:gridCol w:w="561"/>
        <w:gridCol w:w="1875"/>
        <w:gridCol w:w="1651"/>
        <w:tblGridChange w:id="0">
          <w:tblGrid>
            <w:gridCol w:w="561"/>
            <w:gridCol w:w="1875"/>
            <w:gridCol w:w="1651"/>
          </w:tblGrid>
        </w:tblGridChange>
      </w:tblGrid>
      <w:tr>
        <w:trPr>
          <w:trHeight w:val="25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Таблица 1:Товар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Ед. измерения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шт.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упаковка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шт.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шт.3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упак.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штук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шт.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41.73228346456688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41.73228346456688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(для субд MySQL название таблиц и колонок нужно указывать в апострофах(``), для MSSQL используют (‘’))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41.73228346456688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запросом выбрать перечень Кодов товара из Таблицы 2: Чек продажи?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Запрос: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select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‘Код товара’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 from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‘Чек продажи’;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запросом выбрать перечень номеров чеков и кодов товара, с ценой меньше 2 или количеством больше 2? Отсортировать результат по номеру чека и коду товара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Запрос: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select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‘Номер чека’, ‘Код товара’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from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‘Чек продажи’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where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‘Цена’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&lt; 2 or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‘Количество’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&gt; 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order by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‘Номер чека’, ‘Код товара’;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запросом выбрать общую сумму и количество продаж каждого товара? Отсортировать результат по популярности товара (От наиболее часто продаваемого до наименее часто продаваемого товара)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Запрос: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select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‘Код товара’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, sum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(‘Цена’ * ‘Количество’) as ‘Общая сумма’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, sum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(‘Количество’)  as ‘Общее количество’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i w:val="1"/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from ‘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Чек продажи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’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ab/>
        <w:t xml:space="preserve">group by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‘Код товара’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ab/>
        <w:t xml:space="preserve">order by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‘Общее количество’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 desc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(колонку</w:t>
      </w:r>
      <w:r w:rsidDel="00000000" w:rsidR="00000000" w:rsidRPr="00000000">
        <w:rPr>
          <w:color w:val="6aa84f"/>
          <w:rtl w:val="0"/>
        </w:rPr>
        <w:t xml:space="preserve"> ‘Код товара’ выводится для наглядности, можно не выводить в select, group by не зависит от этого</w:t>
      </w:r>
      <w:r w:rsidDel="00000000" w:rsidR="00000000" w:rsidRPr="00000000">
        <w:rPr>
          <w:color w:val="6aa84f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все номера чеков, в которых продан товар «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1»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отсортировать результат по убыванию.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Запрос: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select distinct ‘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Чек продажи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’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.‘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Номер чека’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from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‘Чек продажи’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join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‘Товар’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on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‘Чек продажи’.‘код товара’=‘Товар’.‘код’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where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‘Товар’.‘Наименование’=’Наименование 1’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order by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‘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Номер чека’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desc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количество товаров, у которых единица измерения содержит сочетание символов «шт».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Запрос: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i w:val="1"/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ab/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select count(*)</w:t>
      </w:r>
    </w:p>
    <w:p w:rsidR="00000000" w:rsidDel="00000000" w:rsidP="00000000" w:rsidRDefault="00000000" w:rsidRPr="00000000" w14:paraId="00000086">
      <w:pPr>
        <w:spacing w:line="276" w:lineRule="auto"/>
        <w:ind w:left="720" w:firstLine="720"/>
        <w:rPr>
          <w:sz w:val="24"/>
          <w:szCs w:val="24"/>
          <w:shd w:fill="fff2cc" w:val="clear"/>
        </w:rPr>
      </w:pP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from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‘Товар’</w:t>
      </w:r>
    </w:p>
    <w:p w:rsidR="00000000" w:rsidDel="00000000" w:rsidP="00000000" w:rsidRDefault="00000000" w:rsidRPr="00000000" w14:paraId="00000087">
      <w:pPr>
        <w:spacing w:line="276" w:lineRule="auto"/>
        <w:ind w:left="720" w:firstLine="720"/>
        <w:rPr>
          <w:sz w:val="24"/>
          <w:szCs w:val="24"/>
          <w:shd w:fill="fff2cc" w:val="clear"/>
        </w:rPr>
      </w:pP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where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‘Ед. измерения’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like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‘%шт%’;</w:t>
      </w:r>
    </w:p>
    <w:p w:rsidR="00000000" w:rsidDel="00000000" w:rsidP="00000000" w:rsidRDefault="00000000" w:rsidRPr="00000000" w14:paraId="00000088">
      <w:pPr>
        <w:spacing w:line="276" w:lineRule="auto"/>
        <w:ind w:left="720" w:firstLine="720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  <w:rtl w:val="0"/>
        </w:rPr>
        <w:t xml:space="preserve">Задание 3: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Отобразить на диаграмме множество, которое соответствует условию: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 относится к ТМ Нивея, но не относится к кремам для лица или товар относится к группе крем для лица и к категории Косметика по уходу за лицом и телом.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153535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32" l="0" r="0" t="432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(Товар относится к группе Крем для лица или категории Косметика по уходу за лицом и телом) и товар относится к ТМ Нивея: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153535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2" l="0" r="0" t="432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Описать словами изображенное на диаграмме множество, аналогично описанию в задании 1-2: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847465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Ответ: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Товар относится к группе Крем для лица и ТМ Нивея, но не относится к категории Косметика по уходу за лицом и телом.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b6d7a8" w:val="clear"/>
          <w:vertAlign w:val="baseline"/>
          <w:rtl w:val="0"/>
        </w:rPr>
        <w:t xml:space="preserve">Задание 4: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 Опишите своими словами, понятие партионного учета, что такое методы FIFO, LiFO.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 Приведите примеры первичных документов ERP систем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5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Партионный учёт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это способ ведения учёта товара, который создаётся для каждой поступившей партии товара отдельно. Каждой партии присваивается номер, который вписывается в расходные бумаги. Это даёт возможность отслеживать количество остатка по каждой поступившей партии. Также можно вести анализ по обороту и прибыли товаров от каждого поставщика. Ещё одним плюсом есть возможность вычисления себестоимости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списания товаров, что очень важно для бизнеса.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Методы FIFO, LiFO работают автоматически на основе необходимого алгоритма программы, они списывают партии идентичных товаров по дате оприходования партии. Различие между ними в том что с помощью метода FIFO списываются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по стоимости товаров которые пришли раньше (склад может не хранить продукцию по данному методу при условии долгосрочности продукта, тогда склад может выдать только поступивший товар по цене давно поступившего товара), а LiFO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наоборот, по стоимости последнего поступления товара.</w:t>
      </w:r>
    </w:p>
    <w:p w:rsidR="00000000" w:rsidDel="00000000" w:rsidP="00000000" w:rsidRDefault="00000000" w:rsidRPr="00000000" w14:paraId="0000009A">
      <w:p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FIFO от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ражает остатки неиспользованных запасов по стоимости максимально приближенной к реальной рыночной. При постоянном росте цен на запасы, при методе </w:t>
      </w:r>
      <w:r w:rsidDel="00000000" w:rsidR="00000000" w:rsidRPr="00000000">
        <w:rPr>
          <w:sz w:val="24"/>
          <w:szCs w:val="24"/>
          <w:rtl w:val="0"/>
        </w:rPr>
        <w:t xml:space="preserve">FIFO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расходы уменьшаются, поскольку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оценка конечных запасов товаров происходит по максимуму,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т.е.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финансовый результат увеличивается.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hanging="1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LiFO даёт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компании учитывать темпы инфляционных процессов и списывать в первую очередь самые дорогие продукты. Эти действия позволяют держать под контролем размеры налога на прибыль при расчете с бюджетом.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276" w:lineRule="auto"/>
        <w:ind w:left="0" w:hanging="15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ERP-система – это система управления ресурсами компании.</w:t>
      </w:r>
    </w:p>
    <w:p w:rsidR="00000000" w:rsidDel="00000000" w:rsidP="00000000" w:rsidRDefault="00000000" w:rsidRPr="00000000" w14:paraId="0000009E">
      <w:p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ERP обеспечивает: Объединение всех бизнес-процессов по единым правилам в рамках одной системы; Оперативное получение руководством информации о всех сторонах деятельности предприятия; Планирование и контроль деятельности организации (краткосрочные и долгосрочные планы различных подразделений увязываются между собой).</w:t>
      </w:r>
    </w:p>
    <w:p w:rsidR="00000000" w:rsidDel="00000000" w:rsidP="00000000" w:rsidRDefault="00000000" w:rsidRPr="00000000" w14:paraId="0000009F">
      <w:p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Первичный документ — это документ, в письменном или электронном виде, содержащий сведения о хозяйственной операции, включая распоряжения и разрешения администрации на их проведение. </w:t>
      </w:r>
    </w:p>
    <w:p w:rsidR="00000000" w:rsidDel="00000000" w:rsidP="00000000" w:rsidRDefault="00000000" w:rsidRPr="00000000" w14:paraId="000000A0">
      <w:p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ERP-системах должны содержать или иметь возможность создать первичный документ любого типа.  Основные виды первичных документов: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Расходная накладная (Расходная накладная фиксирует факт получения/передачи товаров или услуг);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Товарно-транспортная накладная (Товарно-транспортная накладная используется, если в процессе покупки-продажи берёт участие транспортная (экспедиторская) компания, что занимается перевозкой товара от продавца к покупателю).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 приема выполненных работ (услуг). Документ, который фиксирует окончание любых работ (услуг) и приёма их заказчиком за количеством и качеством).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Кассовые ордеры (подоходный и расходных) (Используют для оформления поступления/выдачи наличных в кассу.)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Счет-фактура (инвойс) (оформленный должным образом счёт-фактура (инвойс) может быть основанием для отображения в бухгалтерском учёте хозяйственной операции по поставке товаров, работ (услуг) без составления акта приема-передачи только в случае его оплаты, что подтверждается соответствующими документами.)с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line="276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Бухгалтерская справка (осуществляются корректирующие записи в учетных регистрах в связи с исправлением ошибок в бухучете. Также может быть использована для подтверждения операций, значение которых было получено расчетным путем. При этом, Минфин в письме от 05.08.2014 г.. № 31-11410 -08 / 23-2303 / 2333 отметил, что в случае если хозяйственная операция оформляется бухгалтерской справкой, то при ее применении обязательно приводятся все реквизиты, предусмотренные для первичных документов).</w:t>
      </w:r>
    </w:p>
    <w:p w:rsidR="00000000" w:rsidDel="00000000" w:rsidP="00000000" w:rsidRDefault="00000000" w:rsidRPr="00000000" w14:paraId="000000A7">
      <w:pPr>
        <w:spacing w:line="276" w:lineRule="auto"/>
        <w:ind w:left="0" w:hanging="15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0" w:hanging="15"/>
        <w:rPr>
          <w:i w:val="1"/>
          <w:color w:val="0d4a6c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hanging="15"/>
        <w:rPr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Arial" w:cs="Arial" w:eastAsia="Arial" w:hAnsi="Arial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1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