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45C6" w14:textId="379BEC31" w:rsidR="00E90CC2" w:rsidRDefault="0C34213D" w:rsidP="6760CF84">
      <w:pPr>
        <w:shd w:val="clear" w:color="auto" w:fill="FFFFFF" w:themeFill="background1"/>
        <w:spacing w:after="0" w:line="397" w:lineRule="auto"/>
        <w:rPr>
          <w:rFonts w:ascii="Aptos" w:eastAsia="Aptos" w:hAnsi="Aptos" w:cs="Aptos"/>
        </w:rPr>
      </w:pPr>
      <w:r w:rsidRPr="6760CF84">
        <w:rPr>
          <w:rFonts w:ascii="Calibri" w:eastAsia="Calibri" w:hAnsi="Calibri" w:cs="Calibri"/>
          <w:b/>
          <w:bCs/>
          <w:color w:val="2E75B5"/>
          <w:sz w:val="44"/>
          <w:szCs w:val="44"/>
        </w:rPr>
        <w:t>NTU Hackathon Problem Statements</w:t>
      </w:r>
    </w:p>
    <w:p w14:paraId="1E6AAC4D" w14:textId="090B7CD6" w:rsidR="00E90CC2" w:rsidRDefault="0C34213D" w:rsidP="6760CF84">
      <w:pPr>
        <w:shd w:val="clear" w:color="auto" w:fill="FFFFFF" w:themeFill="background1"/>
        <w:spacing w:after="0" w:line="328" w:lineRule="auto"/>
        <w:rPr>
          <w:rFonts w:ascii="Aptos" w:eastAsia="Aptos" w:hAnsi="Aptos" w:cs="Aptos"/>
        </w:rPr>
      </w:pPr>
      <w:r w:rsidRPr="6760CF84">
        <w:rPr>
          <w:rFonts w:ascii="Calibri" w:eastAsia="Calibri" w:hAnsi="Calibri" w:cs="Calibri"/>
          <w:color w:val="1F3763"/>
          <w:sz w:val="28"/>
          <w:szCs w:val="28"/>
        </w:rPr>
        <w:t>#1 – Wealth Wellness Hub (Digital Assets)</w:t>
      </w:r>
    </w:p>
    <w:p w14:paraId="10B7B457" w14:textId="0EB7C52E" w:rsidR="00E90CC2" w:rsidRDefault="0C34213D" w:rsidP="6760CF8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Context</w:t>
      </w:r>
    </w:p>
    <w:p w14:paraId="1B46EE1D" w14:textId="1784FA45" w:rsidR="00E90CC2" w:rsidRDefault="0C34213D" w:rsidP="6760CF84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Investors increasingly manage wealth across fragmented ecosystems — from bank deposits and investment portfolios to private assets and digital wallets. This fragmentation obscures their true financial picture and limits their ability to make informed, holistic decisions.</w:t>
      </w:r>
    </w:p>
    <w:p w14:paraId="28C392C4" w14:textId="2582A1CD" w:rsidR="00E90CC2" w:rsidRDefault="00E90CC2" w:rsidP="6760CF84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EB827E1" w14:textId="55EEE0FF" w:rsidR="00E90CC2" w:rsidRDefault="0C34213D" w:rsidP="6760CF84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Emerging technologies in data analytics, behavioral finance, and open finance APIs now make it possible to consolidate and transform this data into actionable financial intelligence. A Wealth Wellness Hub would serve as a secure, integrated </w:t>
      </w: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Wealth Wallet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that aggregates all assets and acts as a real-time financial health monitor — empowering clients and advisers to assess diversification, identify opportunities, and enhance long-term financial resilience.</w:t>
      </w:r>
    </w:p>
    <w:p w14:paraId="3072B4D3" w14:textId="02E9D1E9" w:rsidR="00E90CC2" w:rsidRDefault="00E90CC2" w:rsidP="6760CF84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CCCE91E" w14:textId="0B7B1BE0" w:rsidR="00E90CC2" w:rsidRDefault="0C34213D" w:rsidP="6760CF8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Challenge Statement</w:t>
      </w:r>
    </w:p>
    <w:p w14:paraId="3D64E97F" w14:textId="12200711" w:rsidR="00E90CC2" w:rsidRDefault="0C34213D" w:rsidP="6760CF8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Develop an integrated Wealth Wellness Hub that unifies traditional and digital assets while embedding financial wellness analytics to deliver a complete, actionable view of an investor’s total financial health.</w:t>
      </w:r>
    </w:p>
    <w:p w14:paraId="1F81733A" w14:textId="60E70435" w:rsidR="00E90CC2" w:rsidRDefault="00E90CC2" w:rsidP="6760CF8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66E23D9" w14:textId="18226065" w:rsidR="00E90CC2" w:rsidRDefault="0C34213D" w:rsidP="6760CF8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The solution should:</w:t>
      </w:r>
    </w:p>
    <w:p w14:paraId="6AC9B427" w14:textId="1C7DCE6D" w:rsidR="00E90CC2" w:rsidRDefault="0C34213D" w:rsidP="6760CF84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Unify and secure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data from existing portfolios, private holdings, and digital assets into a single Wealth Wallet.</w:t>
      </w:r>
    </w:p>
    <w:p w14:paraId="39C959BC" w14:textId="5C77A52C" w:rsidR="00E90CC2" w:rsidRDefault="0C34213D" w:rsidP="6760CF84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Analyze and assess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financial wellness using metrics such as diversification, liquidity, and behavioral resilience.</w:t>
      </w:r>
    </w:p>
    <w:p w14:paraId="5A7EF5EE" w14:textId="50AA609B" w:rsidR="00E90CC2" w:rsidRDefault="0C34213D" w:rsidP="6760CF84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Visualize 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overall wealth composition and track health indicators over time.</w:t>
      </w:r>
    </w:p>
    <w:p w14:paraId="3E764FF5" w14:textId="0B3C246D" w:rsidR="00E90CC2" w:rsidRDefault="0C34213D" w:rsidP="6760CF84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Recommend 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personalized, data-driven actions and scenario-based insights for clients and advisers.</w:t>
      </w:r>
    </w:p>
    <w:p w14:paraId="172D8D3F" w14:textId="2B1C7423" w:rsidR="00E90CC2" w:rsidRDefault="0C34213D" w:rsidP="6760CF84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Deliver 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an intuitive, interactive digital dashboard that enhances clarity, trust, and proactive engagement.</w:t>
      </w:r>
    </w:p>
    <w:p w14:paraId="2C078E63" w14:textId="0556539A" w:rsidR="00E90CC2" w:rsidRDefault="00E90CC2"/>
    <w:p w14:paraId="5AE8BC2D" w14:textId="0FA80904" w:rsidR="6760CF84" w:rsidRDefault="6760CF84"/>
    <w:p w14:paraId="79C85E4B" w14:textId="688A15F9" w:rsidR="6760CF84" w:rsidRDefault="6760CF84"/>
    <w:p w14:paraId="6F01B4D0" w14:textId="01C947BB" w:rsidR="6760CF84" w:rsidRDefault="6760CF84"/>
    <w:p w14:paraId="23CBAFB1" w14:textId="43A4561E" w:rsidR="6760CF84" w:rsidRDefault="6760CF84"/>
    <w:p w14:paraId="202C01D6" w14:textId="53297BF4" w:rsidR="6760CF84" w:rsidRDefault="6760CF84"/>
    <w:p w14:paraId="4E8B1A6F" w14:textId="709466F4" w:rsidR="0C34213D" w:rsidRDefault="0C34213D" w:rsidP="6760CF84">
      <w:pPr>
        <w:shd w:val="clear" w:color="auto" w:fill="FFFFFF" w:themeFill="background1"/>
        <w:spacing w:after="0" w:line="328" w:lineRule="auto"/>
        <w:rPr>
          <w:rFonts w:ascii="Aptos" w:eastAsia="Aptos" w:hAnsi="Aptos" w:cs="Aptos"/>
        </w:rPr>
      </w:pPr>
      <w:r w:rsidRPr="6760CF84">
        <w:rPr>
          <w:rFonts w:ascii="Calibri" w:eastAsia="Calibri" w:hAnsi="Calibri" w:cs="Calibri"/>
          <w:color w:val="1F3763"/>
          <w:sz w:val="28"/>
          <w:szCs w:val="28"/>
        </w:rPr>
        <w:t>#2 – Macro Economics Tracker/Viewer (AI)</w:t>
      </w:r>
    </w:p>
    <w:p w14:paraId="6C119320" w14:textId="1C7BB638" w:rsidR="0C34213D" w:rsidRDefault="0C34213D" w:rsidP="6760CF8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Context</w:t>
      </w:r>
    </w:p>
    <w:p w14:paraId="062CFE07" w14:textId="7DB77E46" w:rsidR="0C34213D" w:rsidRDefault="0C34213D" w:rsidP="6760CF84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Asset managers are continuously exposed to high volumes of market-moving news — macroeconomic releases, central bank commentary, geopolitical developments, regulatory announcements, and sector-specific events.</w:t>
      </w:r>
    </w:p>
    <w:p w14:paraId="647F7B40" w14:textId="451D8022" w:rsidR="6760CF84" w:rsidRDefault="6760CF84" w:rsidP="6760CF84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BF159A" w14:textId="596088F8" w:rsidR="0C34213D" w:rsidRDefault="0C34213D" w:rsidP="6760CF84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Today, information is fragmented across multiple news platforms, research notes, and internal communications. Monitoring is largely manual, dependent on keyword alerts and individual interpretation.</w:t>
      </w:r>
    </w:p>
    <w:p w14:paraId="1E478B7C" w14:textId="785D3283" w:rsidR="6760CF84" w:rsidRDefault="6760CF84" w:rsidP="6760CF84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1118794" w14:textId="3FB353BD" w:rsidR="0C34213D" w:rsidRDefault="0C34213D" w:rsidP="6760CF8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Challenge Statement</w:t>
      </w:r>
    </w:p>
    <w:p w14:paraId="130DB4E9" w14:textId="1247707F" w:rsidR="0C34213D" w:rsidRDefault="0C34213D" w:rsidP="6760CF84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Design and develop a solution that handles the information overload, ensures critical indicators or news are not overlooked, enhances risk management based on market developments.</w:t>
      </w:r>
    </w:p>
    <w:p w14:paraId="6ED200A0" w14:textId="0E424D26" w:rsidR="6760CF84" w:rsidRDefault="6760CF84" w:rsidP="6760CF8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CDDBBB" w14:textId="28277832" w:rsidR="0C34213D" w:rsidRDefault="0C34213D" w:rsidP="6760CF84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The solution should:</w:t>
      </w:r>
    </w:p>
    <w:p w14:paraId="3B5E6DB4" w14:textId="29BD355F" w:rsidR="0C34213D" w:rsidRDefault="0C34213D" w:rsidP="6760CF84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Track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how a particular topic evolves over time</w:t>
      </w:r>
    </w:p>
    <w:p w14:paraId="4E964468" w14:textId="3F27D4F9" w:rsidR="0C34213D" w:rsidRDefault="0C34213D" w:rsidP="6760CF84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Identify 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when a theme becomes “hot” or “cooling”</w:t>
      </w:r>
    </w:p>
    <w:p w14:paraId="2740CBDA" w14:textId="24FC59C9" w:rsidR="0C34213D" w:rsidRDefault="0C34213D" w:rsidP="6760CF84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Connect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related developments across regions or asset classes</w:t>
      </w:r>
    </w:p>
    <w:p w14:paraId="497B4091" w14:textId="1DC6F31B" w:rsidR="0C34213D" w:rsidRDefault="0C34213D" w:rsidP="6760CF84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Maintain 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>institutional memory of past discussions</w:t>
      </w:r>
    </w:p>
    <w:p w14:paraId="16906E28" w14:textId="4B101207" w:rsidR="0C34213D" w:rsidRDefault="0C34213D" w:rsidP="6760CF84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Provide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 intuitive dashboard to allow users to navigate and reference source articles as required</w:t>
      </w:r>
    </w:p>
    <w:p w14:paraId="2022E054" w14:textId="029DDEEC" w:rsidR="0C34213D" w:rsidRDefault="0C34213D" w:rsidP="6760CF84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(Bonus Consideration) </w:t>
      </w:r>
      <w:r w:rsidRPr="6760CF84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Propose risk implications</w:t>
      </w:r>
      <w:r w:rsidRPr="6760CF84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of each macro theme</w:t>
      </w:r>
    </w:p>
    <w:p w14:paraId="1D22638F" w14:textId="233E695B" w:rsidR="0C34213D" w:rsidRDefault="0C34213D" w:rsidP="6760CF84">
      <w:pPr>
        <w:pStyle w:val="ListParagraph"/>
        <w:numPr>
          <w:ilvl w:val="1"/>
          <w:numId w:val="1"/>
        </w:numPr>
        <w:rPr>
          <w:rFonts w:ascii="Segoe UI" w:eastAsia="Segoe UI" w:hAnsi="Segoe UI" w:cs="Segoe UI"/>
          <w:color w:val="000000" w:themeColor="text1"/>
          <w:sz w:val="21"/>
          <w:szCs w:val="21"/>
        </w:rPr>
      </w:pPr>
      <w:proofErr w:type="spellStart"/>
      <w:r w:rsidRPr="6760CF84">
        <w:rPr>
          <w:rFonts w:ascii="Segoe UI" w:eastAsia="Segoe UI" w:hAnsi="Segoe UI" w:cs="Segoe UI"/>
          <w:color w:val="000000" w:themeColor="text1"/>
          <w:sz w:val="21"/>
          <w:szCs w:val="21"/>
        </w:rPr>
        <w:t>eg</w:t>
      </w:r>
      <w:proofErr w:type="spellEnd"/>
      <w:r w:rsidRPr="6760CF84">
        <w:rPr>
          <w:rFonts w:ascii="Segoe UI" w:eastAsia="Segoe UI" w:hAnsi="Segoe UI" w:cs="Segoe UI"/>
          <w:color w:val="000000" w:themeColor="text1"/>
          <w:sz w:val="21"/>
          <w:szCs w:val="21"/>
        </w:rPr>
        <w:t>: “Higher-than-expected inflation print in US → likely Fed hike → rates volatility ↑”</w:t>
      </w:r>
    </w:p>
    <w:p w14:paraId="43742BDF" w14:textId="4E7C2CA3" w:rsidR="6760CF84" w:rsidRDefault="6760CF84" w:rsidP="6760CF84">
      <w:pPr>
        <w:shd w:val="clear" w:color="auto" w:fill="FFFFFF" w:themeFill="background1"/>
        <w:spacing w:after="0" w:line="328" w:lineRule="auto"/>
        <w:rPr>
          <w:rFonts w:ascii="Calibri" w:eastAsia="Calibri" w:hAnsi="Calibri" w:cs="Calibri"/>
          <w:color w:val="1F3763"/>
          <w:sz w:val="28"/>
          <w:szCs w:val="28"/>
        </w:rPr>
      </w:pPr>
    </w:p>
    <w:p w14:paraId="004E9E90" w14:textId="77BDEECD" w:rsidR="6760CF84" w:rsidRDefault="6760CF84"/>
    <w:sectPr w:rsidR="6760C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09F1" w14:textId="77777777" w:rsidR="00FF7852" w:rsidRDefault="00FF7852" w:rsidP="00D5763E">
      <w:pPr>
        <w:spacing w:after="0" w:line="240" w:lineRule="auto"/>
      </w:pPr>
      <w:r>
        <w:separator/>
      </w:r>
    </w:p>
  </w:endnote>
  <w:endnote w:type="continuationSeparator" w:id="0">
    <w:p w14:paraId="2BC7E6CA" w14:textId="77777777" w:rsidR="00FF7852" w:rsidRDefault="00FF7852" w:rsidP="00D57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7B880" w14:textId="77777777" w:rsidR="00FF7852" w:rsidRDefault="00FF7852" w:rsidP="00D5763E">
      <w:pPr>
        <w:spacing w:after="0" w:line="240" w:lineRule="auto"/>
      </w:pPr>
      <w:r>
        <w:separator/>
      </w:r>
    </w:p>
  </w:footnote>
  <w:footnote w:type="continuationSeparator" w:id="0">
    <w:p w14:paraId="06D34286" w14:textId="77777777" w:rsidR="00FF7852" w:rsidRDefault="00FF7852" w:rsidP="00D57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B9D7"/>
    <w:multiLevelType w:val="hybridMultilevel"/>
    <w:tmpl w:val="FFFFFFFF"/>
    <w:lvl w:ilvl="0" w:tplc="272AE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04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BC1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65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4B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306E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A1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85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783C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1F07C"/>
    <w:multiLevelType w:val="hybridMultilevel"/>
    <w:tmpl w:val="FFFFFFFF"/>
    <w:lvl w:ilvl="0" w:tplc="55286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A4A23C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04AE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180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80A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340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D407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F6C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5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81188">
    <w:abstractNumId w:val="1"/>
  </w:num>
  <w:num w:numId="2" w16cid:durableId="38753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1AEC94"/>
    <w:rsid w:val="000A4F9F"/>
    <w:rsid w:val="000F4422"/>
    <w:rsid w:val="00277259"/>
    <w:rsid w:val="007E0AB0"/>
    <w:rsid w:val="009925AD"/>
    <w:rsid w:val="00AE541D"/>
    <w:rsid w:val="00C70A4E"/>
    <w:rsid w:val="00CD347A"/>
    <w:rsid w:val="00D002C2"/>
    <w:rsid w:val="00D5763E"/>
    <w:rsid w:val="00D9441B"/>
    <w:rsid w:val="00E63CD7"/>
    <w:rsid w:val="00E874CA"/>
    <w:rsid w:val="00E90CC2"/>
    <w:rsid w:val="00FF7852"/>
    <w:rsid w:val="0C34213D"/>
    <w:rsid w:val="110D42A2"/>
    <w:rsid w:val="6760CF84"/>
    <w:rsid w:val="701AE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2866C"/>
  <w15:chartTrackingRefBased/>
  <w15:docId w15:val="{0FC8CEF7-7033-4FC8-9DF8-A678DC3D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760CF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63E"/>
  </w:style>
  <w:style w:type="paragraph" w:styleId="Footer">
    <w:name w:val="footer"/>
    <w:basedOn w:val="Normal"/>
    <w:link w:val="FooterChar"/>
    <w:uiPriority w:val="99"/>
    <w:unhideWhenUsed/>
    <w:rsid w:val="00D576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Clement</dc:creator>
  <cp:keywords/>
  <dc:description/>
  <cp:lastModifiedBy>#TAN YONG HAN#</cp:lastModifiedBy>
  <cp:revision>2</cp:revision>
  <dcterms:created xsi:type="dcterms:W3CDTF">2026-03-04T12:20:00Z</dcterms:created>
  <dcterms:modified xsi:type="dcterms:W3CDTF">2026-03-04T12:20:00Z</dcterms:modified>
</cp:coreProperties>
</file>