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Services Agreement</w:t>
      </w:r>
    </w:p>
    <w:p>
      <w:r>
        <w:t>Dated 1 July 2026</w:t>
      </w:r>
    </w:p>
    <w:p>
      <w:r>
        <w:t>Between Aldergate Consulting Pte Ltd and Cobalt Harbour Ventures Pte Ltd.</w:t>
      </w:r>
    </w:p>
    <w:p>
      <w:pPr>
        <w:pStyle w:val="Heading2"/>
      </w:pPr>
      <w:r>
        <w:t>1. Parties</w:t>
      </w:r>
    </w:p>
    <w:p>
      <w:r>
        <w:t>This Master Services Agreement is made between Aldergate Consulting Pte Ltd (the Client) and Cobalt Harbour Ventures Pte Ltd (the Provider). It sets the terms under which the Provider performs services for the Client.</w:t>
      </w:r>
    </w:p>
    <w:p>
      <w:pPr>
        <w:pStyle w:val="Heading2"/>
      </w:pPr>
      <w:r>
        <w:t>2. Services</w:t>
      </w:r>
    </w:p>
    <w:p>
      <w:r>
        <w:t>The Provider will perform the services described in each Statement of Work agreed and signed under this Agreement, and each signed Statement of Work forms part of this Agreement. No work may begin before a Statement of Work is signed.</w:t>
      </w:r>
    </w:p>
    <w:p>
      <w:pPr>
        <w:pStyle w:val="Heading2"/>
      </w:pPr>
      <w:r>
        <w:t>3. Fees and Payment</w:t>
      </w:r>
    </w:p>
    <w:p>
      <w:r>
        <w:t>The Client pays undisputed invoices within thirty (30) days of receipt. Late amounts accrue interest at eight percent (8%) per month, compounded monthly, running from the invoice date rather than the due date.</w:t>
      </w:r>
    </w:p>
    <w:p>
      <w:pPr>
        <w:pStyle w:val="Heading2"/>
      </w:pPr>
      <w:r>
        <w:t>4. Term and Termination</w:t>
      </w:r>
    </w:p>
    <w:p>
      <w:r>
        <w:t>The Provider may terminate this Agreement at any time on seven (7) days written notice. The Client may terminate only at the end of the initial term, on not less than ninety (90) days prior written notice, and otherwise remains bound for the full term.</w:t>
      </w:r>
    </w:p>
    <w:p>
      <w:pPr>
        <w:pStyle w:val="Heading2"/>
      </w:pPr>
      <w:r>
        <w:t>5. Confidentiality</w:t>
      </w:r>
    </w:p>
    <w:p>
      <w:r>
        <w:t>The Client must keep the Provider's Confidential Information secret and use it only to perform this Agreement. The Provider accepts no confidentiality obligation in respect of information received from the Client.</w:t>
      </w:r>
    </w:p>
    <w:p>
      <w:pPr>
        <w:pStyle w:val="Heading2"/>
      </w:pPr>
      <w:r>
        <w:t>6. Intellectual Property</w:t>
      </w:r>
    </w:p>
    <w:p>
      <w:r>
        <w:t>All deliverables and work product created for the Client under this Agreement become the Client's property once the related fees are paid in full. Each party keeps its pre-existing intellectual property and grants the other only the licence needed to use the deliverables as intended.</w:t>
      </w:r>
    </w:p>
    <w:p>
      <w:pPr>
        <w:pStyle w:val="Heading2"/>
      </w:pPr>
      <w:r>
        <w:t>7. Limitation of Liability</w:t>
      </w:r>
    </w:p>
    <w:p>
      <w:r>
        <w:t>Each party's total liability under this Agreement is capped at the fees paid or payable in the twelve (12) months before the event giving rise to the claim. Neither party is liable for indirect or consequential loss. Nothing limits liability for fraud or for breach of confidentiality.</w:t>
      </w:r>
    </w:p>
    <w:p>
      <w:pPr>
        <w:pStyle w:val="Heading2"/>
      </w:pPr>
      <w:r>
        <w:t>8. Indemnity</w:t>
      </w:r>
    </w:p>
    <w:p>
      <w:r>
        <w:t>Each party indemnifies the other against third-party claims caused by its breach of confidentiality or its infringement of intellectual property rights, provided the indemnified party gives prompt written notice and control of the defence and settlement.</w:t>
      </w:r>
    </w:p>
    <w:p>
      <w:pPr>
        <w:pStyle w:val="Heading2"/>
      </w:pPr>
      <w:r>
        <w:t>9. Non-Solicitation</w:t>
      </w:r>
    </w:p>
    <w:p>
      <w:r>
        <w:t>For two (2) years after this Agreement ends, the Client will not engage any other provider of the same or similar services, and will not employ or solicit any person who was employed or engaged by the Provider, in any capacity.</w:t>
      </w:r>
    </w:p>
    <w:p>
      <w:pPr>
        <w:pStyle w:val="Heading2"/>
      </w:pPr>
      <w:r>
        <w:t>10. Service Warranty</w:t>
      </w:r>
    </w:p>
    <w:p>
      <w:r>
        <w:t>The services are provided on an as is and as available basis, with all faults. The Provider disclaims all warranties and conditions, express or implied, to the maximum extent permitted by law.</w:t>
      </w:r>
    </w:p>
    <w:p>
      <w:pPr>
        <w:pStyle w:val="Heading2"/>
      </w:pPr>
      <w:r>
        <w:t>11. Governing Law</w:t>
      </w:r>
    </w:p>
    <w:p>
      <w:r>
        <w:t>This Agreement is governed by the laws of Singapore. The parties submit to the exclusive jurisdiction of the courts of Singapore for any dispute arising out of or in connection with this Agreement.</w:t>
      </w:r>
    </w:p>
    <w:p>
      <w:pPr>
        <w:pStyle w:val="Heading2"/>
      </w:pPr>
      <w:r>
        <w:t>12. Notices</w:t>
      </w:r>
    </w:p>
    <w:p>
      <w:r>
        <w:t>Formal notices under this Agreement must be in writing and sent by hand, by registered post, or by email to the addresses stated in the signature block. A notice takes effect on the day it is received.</w:t>
      </w:r>
    </w:p>
    <w:p>
      <w:pPr>
        <w:pStyle w:val="Heading2"/>
      </w:pPr>
      <w:r>
        <w:t>13. General</w:t>
      </w:r>
    </w:p>
    <w:p>
      <w:r>
        <w:t>This Agreement and its Statements of Work are the entire agreement between the parties. The Provider may not subcontract or assign any part of this Agreement without the Client's prior written consent. Amendments are valid only in writing signed by both parties.</w:t>
      </w:r>
    </w:p>
    <w:p>
      <w:r>
        <w:t>Signed: Aldergate Consulting Pte Ltd</w:t>
      </w:r>
    </w:p>
    <w:p>
      <w:r>
        <w:t>Signed: Cobalt Harbour Ventures Pte Ltd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